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B0A3E2" w14:textId="77777777" w:rsidR="002223A6" w:rsidRDefault="002223A6" w:rsidP="002223A6">
      <w:pPr>
        <w:pStyle w:val="Titel"/>
      </w:pPr>
      <w:r>
        <w:t xml:space="preserve">Die Kreuzigung Jesu - Analyse aus historischer, medizinischer und theologischer Perspektive </w:t>
      </w:r>
    </w:p>
    <w:p w14:paraId="648BB5B2" w14:textId="77777777" w:rsidR="002223A6" w:rsidRDefault="002223A6" w:rsidP="002223A6">
      <w:pPr>
        <w:pStyle w:val="whitespace-pre-wrap"/>
        <w:jc w:val="center"/>
      </w:pPr>
      <w:r>
        <w:t>Peter Streitenberger M.A. (phil.)</w:t>
      </w:r>
    </w:p>
    <w:p w14:paraId="2D668553" w14:textId="20876815" w:rsidR="00141719" w:rsidRDefault="002223A6" w:rsidP="002223A6">
      <w:pPr>
        <w:pStyle w:val="Titel"/>
      </w:pPr>
      <w:bookmarkStart w:id="0" w:name="_GoBack"/>
      <w:r>
        <w:rPr>
          <w:noProof/>
          <w:lang w:eastAsia="de-DE"/>
        </w:rPr>
        <w:drawing>
          <wp:inline distT="0" distB="0" distL="0" distR="0" wp14:anchorId="0A34E6E5" wp14:editId="00809705">
            <wp:extent cx="4176395" cy="4176395"/>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olhsaza.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76395" cy="4176395"/>
                    </a:xfrm>
                    <a:prstGeom prst="rect">
                      <a:avLst/>
                    </a:prstGeom>
                  </pic:spPr>
                </pic:pic>
              </a:graphicData>
            </a:graphic>
          </wp:inline>
        </w:drawing>
      </w:r>
      <w:bookmarkEnd w:id="0"/>
    </w:p>
    <w:p w14:paraId="7E722408" w14:textId="77777777" w:rsidR="00141719" w:rsidRPr="00364CAE" w:rsidRDefault="00141719" w:rsidP="009709EC">
      <w:pPr>
        <w:pStyle w:val="berschrift1"/>
        <w:rPr>
          <w:rFonts w:ascii="Times New Roman" w:eastAsia="Times New Roman" w:hAnsi="Times New Roman" w:cs="Times New Roman"/>
          <w:bCs w:val="0"/>
          <w:kern w:val="0"/>
          <w:sz w:val="24"/>
          <w:szCs w:val="24"/>
          <w:lang w:eastAsia="de-DE"/>
        </w:rPr>
      </w:pPr>
      <w:r w:rsidRPr="00364CAE">
        <w:rPr>
          <w:rFonts w:ascii="Times New Roman" w:eastAsia="Times New Roman" w:hAnsi="Times New Roman" w:cs="Times New Roman"/>
          <w:bCs w:val="0"/>
          <w:kern w:val="0"/>
          <w:sz w:val="24"/>
          <w:szCs w:val="24"/>
          <w:lang w:eastAsia="de-DE"/>
        </w:rPr>
        <w:t>Zusammenfassung</w:t>
      </w:r>
    </w:p>
    <w:p w14:paraId="0DADA7E9" w14:textId="77777777" w:rsidR="00141719" w:rsidRPr="00364CAE" w:rsidRDefault="00141719" w:rsidP="009709EC">
      <w:pPr>
        <w:rPr>
          <w:rFonts w:ascii="Times New Roman" w:eastAsia="Times New Roman" w:hAnsi="Times New Roman"/>
          <w:lang w:eastAsia="de-DE"/>
        </w:rPr>
      </w:pPr>
      <w:r w:rsidRPr="00364CAE">
        <w:rPr>
          <w:rFonts w:ascii="Times New Roman" w:eastAsia="Times New Roman" w:hAnsi="Times New Roman"/>
          <w:lang w:eastAsia="de-DE"/>
        </w:rPr>
        <w:t xml:space="preserve">Die vorliegende wissenschaftliche Analyse untersucht die Kreuzigung Jesu Christi aus historischer, medizinischer, </w:t>
      </w:r>
      <w:r w:rsidRPr="00364CAE">
        <w:rPr>
          <w:rFonts w:ascii="Times New Roman" w:eastAsia="Times New Roman" w:hAnsi="Times New Roman"/>
          <w:lang w:eastAsia="de-DE"/>
        </w:rPr>
        <w:lastRenderedPageBreak/>
        <w:t>physikalischer und archäologischer Perspektive. Die Studie kombiniert antike Quellen, archäologische Befunde, naturwissenschaftliche Berechnungen und medizinische Analysen zu einem umfassenden Gesamtbild. Besonderer Wert wurde auf die präzise Dokumentation messbarer Parameter und die Verifikation durch unabhängige Quellen gelegt.</w:t>
      </w:r>
    </w:p>
    <w:p w14:paraId="31F19EF0" w14:textId="77777777" w:rsidR="00141719" w:rsidRDefault="00141719" w:rsidP="009709EC">
      <w:pPr>
        <w:pStyle w:val="berschrift1"/>
      </w:pPr>
      <w:r>
        <w:t xml:space="preserve">1. </w:t>
      </w:r>
      <w:r w:rsidRPr="009709EC">
        <w:t>Einleitung</w:t>
      </w:r>
    </w:p>
    <w:p w14:paraId="5AF8DB19" w14:textId="77777777" w:rsidR="00141719" w:rsidRDefault="00141719" w:rsidP="009709EC">
      <w:pPr>
        <w:pStyle w:val="berschrift2"/>
      </w:pPr>
      <w:r>
        <w:t>1.1 Zielsetzung</w:t>
      </w:r>
    </w:p>
    <w:p w14:paraId="5CF9D42A" w14:textId="24908A43" w:rsidR="00B6655C" w:rsidRPr="00B6655C" w:rsidRDefault="0AB2D936" w:rsidP="0AB2D936">
      <w:pPr>
        <w:spacing w:before="100" w:beforeAutospacing="1" w:after="100" w:afterAutospacing="1"/>
        <w:rPr>
          <w:rFonts w:ascii="Times New Roman" w:eastAsia="Times New Roman" w:hAnsi="Times New Roman"/>
          <w:lang w:eastAsia="de-DE"/>
        </w:rPr>
      </w:pPr>
      <w:r w:rsidRPr="0AB2D936">
        <w:rPr>
          <w:rFonts w:ascii="Times New Roman" w:eastAsia="Times New Roman" w:hAnsi="Times New Roman"/>
          <w:lang w:eastAsia="de-DE"/>
        </w:rPr>
        <w:t>Durch die Kombination verschiedener wissenschaftlicher Disziplinen soll ein möglichst vollständiges und präzises Bild dieses zentralen historischen Ereignisses rekonstruiert werden.</w:t>
      </w:r>
    </w:p>
    <w:p w14:paraId="2989CF60" w14:textId="77777777" w:rsidR="00B6655C" w:rsidRPr="00B6655C" w:rsidRDefault="00B6655C" w:rsidP="00B6655C">
      <w:pPr>
        <w:spacing w:before="100" w:beforeAutospacing="1" w:after="100" w:afterAutospacing="1"/>
        <w:rPr>
          <w:rFonts w:ascii="Times New Roman" w:eastAsia="Times New Roman" w:hAnsi="Times New Roman"/>
          <w:lang w:eastAsia="de-DE"/>
        </w:rPr>
      </w:pPr>
      <w:r w:rsidRPr="00B6655C">
        <w:rPr>
          <w:rFonts w:ascii="Times New Roman" w:eastAsia="Times New Roman" w:hAnsi="Times New Roman"/>
          <w:lang w:eastAsia="de-DE"/>
        </w:rPr>
        <w:t>Die Untersuchung stützt sich auf multiple Evidenzlinien:</w:t>
      </w:r>
    </w:p>
    <w:p w14:paraId="113180CB" w14:textId="77777777" w:rsidR="00B6655C" w:rsidRPr="00B6655C" w:rsidRDefault="00B6655C" w:rsidP="00714222">
      <w:pPr>
        <w:numPr>
          <w:ilvl w:val="0"/>
          <w:numId w:val="339"/>
        </w:numPr>
        <w:spacing w:before="100" w:beforeAutospacing="1" w:after="100" w:afterAutospacing="1"/>
        <w:rPr>
          <w:rFonts w:ascii="Times New Roman" w:eastAsia="Times New Roman" w:hAnsi="Times New Roman"/>
          <w:lang w:eastAsia="de-DE"/>
        </w:rPr>
      </w:pPr>
      <w:r w:rsidRPr="00B6655C">
        <w:rPr>
          <w:rFonts w:ascii="Times New Roman" w:eastAsia="Times New Roman" w:hAnsi="Times New Roman"/>
          <w:lang w:eastAsia="de-DE"/>
        </w:rPr>
        <w:t>Antike Quellen und historische Dokumente</w:t>
      </w:r>
    </w:p>
    <w:p w14:paraId="3885E1CF" w14:textId="77777777" w:rsidR="00B6655C" w:rsidRPr="00B6655C" w:rsidRDefault="00B6655C" w:rsidP="00714222">
      <w:pPr>
        <w:numPr>
          <w:ilvl w:val="0"/>
          <w:numId w:val="339"/>
        </w:numPr>
        <w:spacing w:before="100" w:beforeAutospacing="1" w:after="100" w:afterAutospacing="1"/>
        <w:rPr>
          <w:rFonts w:ascii="Times New Roman" w:eastAsia="Times New Roman" w:hAnsi="Times New Roman"/>
          <w:lang w:eastAsia="de-DE"/>
        </w:rPr>
      </w:pPr>
      <w:r w:rsidRPr="00B6655C">
        <w:rPr>
          <w:rFonts w:ascii="Times New Roman" w:eastAsia="Times New Roman" w:hAnsi="Times New Roman"/>
          <w:lang w:eastAsia="de-DE"/>
        </w:rPr>
        <w:t>Archäologische Befunde und materielle Kultur</w:t>
      </w:r>
    </w:p>
    <w:p w14:paraId="056837EC" w14:textId="77777777" w:rsidR="00B6655C" w:rsidRPr="00B6655C" w:rsidRDefault="00B6655C" w:rsidP="00714222">
      <w:pPr>
        <w:numPr>
          <w:ilvl w:val="0"/>
          <w:numId w:val="339"/>
        </w:numPr>
        <w:spacing w:before="100" w:beforeAutospacing="1" w:after="100" w:afterAutospacing="1"/>
        <w:rPr>
          <w:rFonts w:ascii="Times New Roman" w:eastAsia="Times New Roman" w:hAnsi="Times New Roman"/>
          <w:lang w:eastAsia="de-DE"/>
        </w:rPr>
      </w:pPr>
      <w:r w:rsidRPr="00B6655C">
        <w:rPr>
          <w:rFonts w:ascii="Times New Roman" w:eastAsia="Times New Roman" w:hAnsi="Times New Roman"/>
          <w:lang w:eastAsia="de-DE"/>
        </w:rPr>
        <w:t>Medizinische Analysen der physiologischen Prozesse</w:t>
      </w:r>
    </w:p>
    <w:p w14:paraId="61A5197C" w14:textId="77777777" w:rsidR="00B6655C" w:rsidRPr="00B6655C" w:rsidRDefault="00B6655C" w:rsidP="00714222">
      <w:pPr>
        <w:numPr>
          <w:ilvl w:val="0"/>
          <w:numId w:val="339"/>
        </w:numPr>
        <w:spacing w:before="100" w:beforeAutospacing="1" w:after="100" w:afterAutospacing="1"/>
        <w:rPr>
          <w:rFonts w:ascii="Times New Roman" w:eastAsia="Times New Roman" w:hAnsi="Times New Roman"/>
          <w:lang w:eastAsia="de-DE"/>
        </w:rPr>
      </w:pPr>
      <w:r w:rsidRPr="00B6655C">
        <w:rPr>
          <w:rFonts w:ascii="Times New Roman" w:eastAsia="Times New Roman" w:hAnsi="Times New Roman"/>
          <w:lang w:eastAsia="de-DE"/>
        </w:rPr>
        <w:t>Physikalische Berechnungen der begleitenden Phänomene</w:t>
      </w:r>
    </w:p>
    <w:p w14:paraId="7E64ED42" w14:textId="77777777" w:rsidR="00B6655C" w:rsidRPr="00B6655C" w:rsidRDefault="00B6655C" w:rsidP="00714222">
      <w:pPr>
        <w:numPr>
          <w:ilvl w:val="0"/>
          <w:numId w:val="339"/>
        </w:numPr>
        <w:spacing w:before="100" w:beforeAutospacing="1" w:after="100" w:afterAutospacing="1"/>
        <w:rPr>
          <w:rFonts w:ascii="Times New Roman" w:eastAsia="Times New Roman" w:hAnsi="Times New Roman"/>
          <w:lang w:eastAsia="de-DE"/>
        </w:rPr>
      </w:pPr>
      <w:r w:rsidRPr="00B6655C">
        <w:rPr>
          <w:rFonts w:ascii="Times New Roman" w:eastAsia="Times New Roman" w:hAnsi="Times New Roman"/>
          <w:lang w:eastAsia="de-DE"/>
        </w:rPr>
        <w:t>Astronomische Datierungen und Kalenderstudien</w:t>
      </w:r>
    </w:p>
    <w:p w14:paraId="31A79F58" w14:textId="77777777" w:rsidR="00B6655C" w:rsidRPr="00B6655C" w:rsidRDefault="00B6655C" w:rsidP="00B6655C">
      <w:pPr>
        <w:spacing w:before="100" w:beforeAutospacing="1" w:after="100" w:afterAutospacing="1"/>
        <w:rPr>
          <w:rFonts w:ascii="Times New Roman" w:eastAsia="Times New Roman" w:hAnsi="Times New Roman"/>
          <w:lang w:eastAsia="de-DE"/>
        </w:rPr>
      </w:pPr>
      <w:r w:rsidRPr="00B6655C">
        <w:rPr>
          <w:rFonts w:ascii="Times New Roman" w:eastAsia="Times New Roman" w:hAnsi="Times New Roman"/>
          <w:lang w:eastAsia="de-DE"/>
        </w:rPr>
        <w:t>Besonderer Wert wird auf die präzise Dokumentation messbarer Parameter und die Verifikation durch unabhängige Quellen gelegt. Die Studie zielt darauf ab, sowohl die konkreten historischen Abläufe als auch die begleitenden außergewöhnlichen Phänomene wissenschaftlich zu untersuchen und einzuordnen.</w:t>
      </w:r>
    </w:p>
    <w:p w14:paraId="3FB9FA6F" w14:textId="77777777" w:rsidR="00B6655C" w:rsidRPr="00B6655C" w:rsidRDefault="00B6655C" w:rsidP="00B6655C">
      <w:pPr>
        <w:spacing w:before="100" w:beforeAutospacing="1" w:after="100" w:afterAutospacing="1"/>
        <w:rPr>
          <w:rFonts w:ascii="Times New Roman" w:eastAsia="Times New Roman" w:hAnsi="Times New Roman"/>
          <w:lang w:eastAsia="de-DE"/>
        </w:rPr>
      </w:pPr>
      <w:r w:rsidRPr="00B6655C">
        <w:rPr>
          <w:rFonts w:ascii="Times New Roman" w:eastAsia="Times New Roman" w:hAnsi="Times New Roman"/>
          <w:lang w:eastAsia="de-DE"/>
        </w:rPr>
        <w:t>Wichtig zu beachten ist, dass die vorgelegten Modellrechnungen und Rekonstruktionen als wissenschaftliche Annäherungen zu verstehen sind. Sie zeigen plausible Szenarien, wie die beschriebenen Ereignisse abgelaufen sein könnten, basierend auf den verfügbaren Daten und dem aktuellen Forschungsstand.</w:t>
      </w:r>
    </w:p>
    <w:p w14:paraId="08955BE8" w14:textId="77777777" w:rsidR="00141719" w:rsidRDefault="00141719" w:rsidP="009709EC">
      <w:pPr>
        <w:pStyle w:val="berschrift2"/>
      </w:pPr>
      <w:r>
        <w:lastRenderedPageBreak/>
        <w:t>1.2 Methodologie</w:t>
      </w:r>
    </w:p>
    <w:p w14:paraId="743F92F6" w14:textId="77777777" w:rsidR="00141719" w:rsidRPr="00343F44" w:rsidRDefault="00141719" w:rsidP="009D028F">
      <w:pPr>
        <w:numPr>
          <w:ilvl w:val="0"/>
          <w:numId w:val="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Quellenanalyse</w:t>
      </w:r>
    </w:p>
    <w:p w14:paraId="72503ABC" w14:textId="77777777" w:rsidR="00141719" w:rsidRPr="00343F44" w:rsidRDefault="00141719" w:rsidP="009D028F">
      <w:pPr>
        <w:numPr>
          <w:ilvl w:val="0"/>
          <w:numId w:val="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Archäologische Befundauswertung</w:t>
      </w:r>
    </w:p>
    <w:p w14:paraId="0904E677" w14:textId="77777777" w:rsidR="00141719" w:rsidRPr="00343F44" w:rsidRDefault="00141719" w:rsidP="009D028F">
      <w:pPr>
        <w:numPr>
          <w:ilvl w:val="0"/>
          <w:numId w:val="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Medizinische Rekonstruktion</w:t>
      </w:r>
    </w:p>
    <w:p w14:paraId="7A592CDC" w14:textId="77777777" w:rsidR="00141719" w:rsidRPr="00343F44" w:rsidRDefault="00141719" w:rsidP="009D028F">
      <w:pPr>
        <w:numPr>
          <w:ilvl w:val="0"/>
          <w:numId w:val="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Physikalische Berechnungen</w:t>
      </w:r>
    </w:p>
    <w:p w14:paraId="32A2FD76" w14:textId="77777777" w:rsidR="00141719" w:rsidRPr="00343F44" w:rsidRDefault="00141719" w:rsidP="009D028F">
      <w:pPr>
        <w:numPr>
          <w:ilvl w:val="0"/>
          <w:numId w:val="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Astronomische Datierung</w:t>
      </w:r>
    </w:p>
    <w:p w14:paraId="78087443" w14:textId="77777777" w:rsidR="00141719" w:rsidRPr="00343F44" w:rsidRDefault="00141719" w:rsidP="009D028F">
      <w:pPr>
        <w:numPr>
          <w:ilvl w:val="0"/>
          <w:numId w:val="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Psychologische Analyse</w:t>
      </w:r>
    </w:p>
    <w:p w14:paraId="711C30D8" w14:textId="77777777" w:rsidR="00141719" w:rsidRDefault="00141719" w:rsidP="009709EC">
      <w:pPr>
        <w:pStyle w:val="berschrift2"/>
      </w:pPr>
      <w:r>
        <w:t>1.3 Theologische Bedeutung</w:t>
      </w:r>
    </w:p>
    <w:p w14:paraId="727EDC16" w14:textId="77777777" w:rsidR="00141719" w:rsidRDefault="00141719" w:rsidP="00141719">
      <w:pPr>
        <w:pStyle w:val="whitespace-pre-wrap"/>
      </w:pPr>
      <w:r>
        <w:t>Die Kreuzigung stellt das zentrale Sühneopfer dar. In den drei Stunden der Finsternis trug Jesus die Sünden der Menschheit, verlassen von Gott im Gericht. Dieses kosmische Ereignis wurde von den Propheten Amos, Jesaja und Joel angekündigt und hat Reflexe in historischen Quellen hinterlassen.</w:t>
      </w:r>
    </w:p>
    <w:p w14:paraId="79F4C54C" w14:textId="77777777" w:rsidR="00141719" w:rsidRDefault="00141719" w:rsidP="009709EC">
      <w:pPr>
        <w:pStyle w:val="berschrift1"/>
      </w:pPr>
      <w:r>
        <w:t>2. Prophetische Grundlagen</w:t>
      </w:r>
    </w:p>
    <w:p w14:paraId="14D82FAB" w14:textId="77777777" w:rsidR="00141719" w:rsidRDefault="00141719" w:rsidP="009709EC">
      <w:pPr>
        <w:pStyle w:val="berschrift2"/>
      </w:pPr>
      <w:r>
        <w:t>2.1 Der Same der Schlange</w:t>
      </w:r>
    </w:p>
    <w:p w14:paraId="03069334" w14:textId="77777777" w:rsidR="00141719" w:rsidRDefault="00141719" w:rsidP="00141719">
      <w:pPr>
        <w:pStyle w:val="whitespace-pre-wrap"/>
      </w:pPr>
      <w:r>
        <w:t>In der biblischen Schöpfungsgeschichte findet sich eine bedeutsame Prophezeiung über den Kampf zwischen dem "Samen der Schlange" und dem Messias. Diese Ankündigung in Genesis 3,15 wird als "Protoevangelium" bezeichnet, da sie die erste messianische Weissagung darstellt.</w:t>
      </w:r>
    </w:p>
    <w:p w14:paraId="4535C1F5" w14:textId="77777777" w:rsidR="00AE7139" w:rsidRPr="00AE7139" w:rsidRDefault="00141719" w:rsidP="00AE7139">
      <w:pPr>
        <w:pStyle w:val="whitespace-pre-wrap"/>
      </w:pPr>
      <w:r>
        <w:t xml:space="preserve">Die Schlange, die Eva zur Sünde verführt, </w:t>
      </w:r>
      <w:r w:rsidR="00AE7139">
        <w:t>wird von Satan dazu gebraucht</w:t>
      </w:r>
      <w:r>
        <w:t>. Der "Same der Schlange" repräsentiert die geistliche Nachkommenschaft des Bösen - Menschen und Mächte, die sich gegen Gott stellen</w:t>
      </w:r>
      <w:r w:rsidR="00AE7139">
        <w:t>, insbesondere dem Antichristen</w:t>
      </w:r>
      <w:r>
        <w:t>. Die Prophezeiung kündigt an, dass dieser Same dem Messias die Ferse durchstechen würde.</w:t>
      </w:r>
      <w:r w:rsidR="00AE7139">
        <w:br/>
      </w:r>
      <w:r w:rsidR="00AE7139">
        <w:br/>
      </w:r>
      <w:r w:rsidR="00AE7139" w:rsidRPr="00AE7139">
        <w:lastRenderedPageBreak/>
        <w:t>Die Formulierung "Same der Schlange" in Genesis 3,15 ist metaphorisch zu verstehen, da Schlangen sich biologisch anders fortpflanzen. Hier die biologischen Fakten:</w:t>
      </w:r>
    </w:p>
    <w:p w14:paraId="625ED7DD" w14:textId="77777777" w:rsidR="00AE7139" w:rsidRPr="00AE7139" w:rsidRDefault="00AE7139" w:rsidP="00AE7139">
      <w:p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Schlangen vermehren sich durch:</w:t>
      </w:r>
    </w:p>
    <w:p w14:paraId="2E952804" w14:textId="77777777" w:rsidR="00AE7139" w:rsidRPr="00AE7139" w:rsidRDefault="00AE7139" w:rsidP="00714222">
      <w:pPr>
        <w:numPr>
          <w:ilvl w:val="0"/>
          <w:numId w:val="268"/>
        </w:num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Eiablage (ovipar) - etwa 70% aller Schlangenarten</w:t>
      </w:r>
    </w:p>
    <w:p w14:paraId="14EA1289" w14:textId="77777777" w:rsidR="00AE7139" w:rsidRPr="00AE7139" w:rsidRDefault="00AE7139" w:rsidP="00714222">
      <w:pPr>
        <w:numPr>
          <w:ilvl w:val="0"/>
          <w:numId w:val="268"/>
        </w:num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Lebendgeburt (vivipar) - etwa 30% der Arten</w:t>
      </w:r>
    </w:p>
    <w:p w14:paraId="08941E9A" w14:textId="77777777" w:rsidR="00AE7139" w:rsidRPr="00AE7139" w:rsidRDefault="00AE7139" w:rsidP="00714222">
      <w:pPr>
        <w:numPr>
          <w:ilvl w:val="0"/>
          <w:numId w:val="268"/>
        </w:num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Ei-Lebendgeburt (ovovivipar) - bei einigen Arten</w:t>
      </w:r>
    </w:p>
    <w:p w14:paraId="29BB5C64" w14:textId="77777777" w:rsidR="00AE7139" w:rsidRPr="00AE7139" w:rsidRDefault="00AE7139" w:rsidP="00AE7139">
      <w:p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Sie produzieren keine "Samen" im botanischen Sinne. Die Befruchtung erfolgt intern nach der Paarung. Männliche Schlangen haben dafür spezielle Begattungsorgane (Hemipenes).</w:t>
      </w:r>
    </w:p>
    <w:p w14:paraId="3D4E90AB" w14:textId="77777777" w:rsidR="00AE7139" w:rsidRPr="00AE7139" w:rsidRDefault="00AE7139" w:rsidP="00AE7139">
      <w:p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Die biblische Formulierung "Same der Schlange" in Genesis 3,15 ist daher:</w:t>
      </w:r>
    </w:p>
    <w:p w14:paraId="7EA6957F" w14:textId="77777777" w:rsidR="00AE7139" w:rsidRPr="00AE7139" w:rsidRDefault="00AE7139" w:rsidP="00714222">
      <w:pPr>
        <w:numPr>
          <w:ilvl w:val="0"/>
          <w:numId w:val="269"/>
        </w:num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Eine metaphorische Ausdrucksweise</w:t>
      </w:r>
    </w:p>
    <w:p w14:paraId="6348915B" w14:textId="77777777" w:rsidR="00AE7139" w:rsidRPr="00AE7139" w:rsidRDefault="00AE7139" w:rsidP="00714222">
      <w:pPr>
        <w:numPr>
          <w:ilvl w:val="0"/>
          <w:numId w:val="269"/>
        </w:num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Bezieht sich auf geistliche Nachkommenschaft</w:t>
      </w:r>
    </w:p>
    <w:p w14:paraId="4EF40FA7" w14:textId="77777777" w:rsidR="00AE7139" w:rsidRPr="00AE7139" w:rsidRDefault="00AE7139" w:rsidP="00714222">
      <w:pPr>
        <w:numPr>
          <w:ilvl w:val="0"/>
          <w:numId w:val="269"/>
        </w:num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Meint die Anhänger/Nachfolger des Bösen</w:t>
      </w:r>
      <w:r w:rsidR="00364CAE">
        <w:rPr>
          <w:rFonts w:ascii="Times New Roman" w:eastAsia="Times New Roman" w:hAnsi="Times New Roman"/>
          <w:lang w:eastAsia="de-DE"/>
        </w:rPr>
        <w:t xml:space="preserve"> (Antichrist/en)</w:t>
      </w:r>
    </w:p>
    <w:p w14:paraId="06C54822" w14:textId="77777777" w:rsidR="00AE7139" w:rsidRPr="00AE7139" w:rsidRDefault="00AE7139" w:rsidP="00714222">
      <w:pPr>
        <w:numPr>
          <w:ilvl w:val="0"/>
          <w:numId w:val="269"/>
        </w:num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Steht im Gegensatz zu</w:t>
      </w:r>
      <w:r>
        <w:rPr>
          <w:rFonts w:ascii="Times New Roman" w:eastAsia="Times New Roman" w:hAnsi="Times New Roman"/>
          <w:lang w:eastAsia="de-DE"/>
        </w:rPr>
        <w:t>m "Samen der Frau" (Christus</w:t>
      </w:r>
      <w:r w:rsidRPr="00AE7139">
        <w:rPr>
          <w:rFonts w:ascii="Times New Roman" w:eastAsia="Times New Roman" w:hAnsi="Times New Roman"/>
          <w:lang w:eastAsia="de-DE"/>
        </w:rPr>
        <w:t>)</w:t>
      </w:r>
    </w:p>
    <w:p w14:paraId="202F3D1F" w14:textId="77777777" w:rsidR="00AE7139" w:rsidRPr="00AE7139" w:rsidRDefault="00AE7139" w:rsidP="00AE7139">
      <w:pPr>
        <w:spacing w:before="100" w:beforeAutospacing="1" w:after="100" w:afterAutospacing="1"/>
        <w:rPr>
          <w:rFonts w:ascii="Times New Roman" w:eastAsia="Times New Roman" w:hAnsi="Times New Roman"/>
          <w:lang w:eastAsia="de-DE"/>
        </w:rPr>
      </w:pPr>
      <w:r w:rsidRPr="00AE7139">
        <w:rPr>
          <w:rFonts w:ascii="Times New Roman" w:eastAsia="Times New Roman" w:hAnsi="Times New Roman"/>
          <w:lang w:eastAsia="de-DE"/>
        </w:rPr>
        <w:t>Die biologische Fortpflanzung der Schlangen hat also nichts mit der theologischen Bedeutung dieser Bibelstelle zu tun. Es handelt sich um eine bildhafte Sprache, um geistliche Wahrheiten zu vermitteln.</w:t>
      </w:r>
    </w:p>
    <w:p w14:paraId="1C2BACB6" w14:textId="77777777" w:rsidR="00141719" w:rsidRDefault="00141719" w:rsidP="00141719">
      <w:pPr>
        <w:pStyle w:val="whitespace-pre-wrap"/>
      </w:pPr>
      <w:r>
        <w:t>Diese Voraussage erfüllte sich in der Kreuzigung Jesu. Die Nägel, die seine Füße durchbohrten, symbolisieren den "Fersenstich". Doch während dieser Angriff Christus nur zeitweilig verwundete, führte sein Opfertod zur endgültigen Überwindung der Macht des Bösen - bildlich ausgedrückt als das "Zertreten des Kopfes der Schlange".</w:t>
      </w:r>
    </w:p>
    <w:p w14:paraId="62DC49B8" w14:textId="77777777" w:rsidR="00DD0D6E" w:rsidRPr="00DD0D6E" w:rsidRDefault="681B6DB3" w:rsidP="681B6DB3">
      <w:pPr>
        <w:spacing w:before="80" w:after="100" w:afterAutospacing="1"/>
        <w:rPr>
          <w:rFonts w:ascii="Times New Roman" w:eastAsia="Times New Roman" w:hAnsi="Times New Roman"/>
          <w:lang w:eastAsia="de-DE"/>
        </w:rPr>
      </w:pPr>
      <w:r w:rsidRPr="681B6DB3">
        <w:rPr>
          <w:rFonts w:ascii="Times New Roman" w:eastAsia="Times New Roman" w:hAnsi="Times New Roman"/>
          <w:b/>
          <w:bCs/>
          <w:lang w:eastAsia="de-DE"/>
        </w:rPr>
        <w:t>Theologische Vertiefung des Protoevangeliums:</w:t>
      </w:r>
    </w:p>
    <w:p w14:paraId="1DC32744" w14:textId="77777777" w:rsidR="00DD0D6E" w:rsidRPr="00DD0D6E" w:rsidRDefault="00DD0D6E" w:rsidP="00714222">
      <w:pPr>
        <w:numPr>
          <w:ilvl w:val="0"/>
          <w:numId w:val="150"/>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lastRenderedPageBreak/>
        <w:t>Anatomische Dimension:</w:t>
      </w:r>
    </w:p>
    <w:p w14:paraId="0FC5B4A4" w14:textId="77777777" w:rsidR="00DD0D6E" w:rsidRPr="00DD0D6E" w:rsidRDefault="00DD0D6E" w:rsidP="00714222">
      <w:pPr>
        <w:numPr>
          <w:ilvl w:val="0"/>
          <w:numId w:val="151"/>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Die Prophezeiung des "Fersenstichs" korreliert präzise mit der späteren römischen Kreuzigungspraxis</w:t>
      </w:r>
    </w:p>
    <w:p w14:paraId="5E27B854" w14:textId="77777777" w:rsidR="00DD0D6E" w:rsidRPr="00DD0D6E" w:rsidRDefault="00DD0D6E" w:rsidP="00714222">
      <w:pPr>
        <w:numPr>
          <w:ilvl w:val="0"/>
          <w:numId w:val="151"/>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Die Durchbohrung des Talus (Sprungbein) und Calcaneus (Fersenbein) entspricht exakt der vorhergesagten Verletzung</w:t>
      </w:r>
    </w:p>
    <w:p w14:paraId="1A249D92" w14:textId="77777777" w:rsidR="00DD0D6E" w:rsidRPr="00DD0D6E" w:rsidRDefault="00DD0D6E" w:rsidP="00714222">
      <w:pPr>
        <w:numPr>
          <w:ilvl w:val="0"/>
          <w:numId w:val="151"/>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Archäologische Funde (z.B. der Gekreuzigte von Giv'at ha-Mivtar) bestätigen diese Nageldurchbohrung</w:t>
      </w:r>
    </w:p>
    <w:p w14:paraId="0B12DB93" w14:textId="77777777" w:rsidR="00DD0D6E" w:rsidRPr="00DD0D6E" w:rsidRDefault="00DD0D6E" w:rsidP="00714222">
      <w:pPr>
        <w:numPr>
          <w:ilvl w:val="0"/>
          <w:numId w:val="152"/>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Genealogische Linie:</w:t>
      </w:r>
    </w:p>
    <w:p w14:paraId="4C93A74F" w14:textId="77777777" w:rsidR="00DD0D6E" w:rsidRPr="00DD0D6E" w:rsidRDefault="00DD0D6E" w:rsidP="00714222">
      <w:pPr>
        <w:numPr>
          <w:ilvl w:val="0"/>
          <w:numId w:val="153"/>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 xml:space="preserve">Der "Same der Frau" bezeichnet </w:t>
      </w:r>
      <w:r w:rsidR="00A34155">
        <w:rPr>
          <w:rFonts w:ascii="Times New Roman" w:eastAsia="Times New Roman" w:hAnsi="Times New Roman"/>
          <w:lang w:eastAsia="de-DE"/>
        </w:rPr>
        <w:t xml:space="preserve">den </w:t>
      </w:r>
      <w:r w:rsidRPr="00DD0D6E">
        <w:rPr>
          <w:rFonts w:ascii="Times New Roman" w:eastAsia="Times New Roman" w:hAnsi="Times New Roman"/>
          <w:lang w:eastAsia="de-DE"/>
        </w:rPr>
        <w:t>Messias</w:t>
      </w:r>
    </w:p>
    <w:p w14:paraId="5DBC3449" w14:textId="77777777" w:rsidR="00DD0D6E" w:rsidRPr="00DD0D6E" w:rsidRDefault="00DD0D6E" w:rsidP="00714222">
      <w:pPr>
        <w:numPr>
          <w:ilvl w:val="0"/>
          <w:numId w:val="153"/>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Die Formulierung "Same der Frau" (statt des Mannes) deutet bereits auf die Jungfrauengeburt hin</w:t>
      </w:r>
    </w:p>
    <w:p w14:paraId="1D4F93A0" w14:textId="77777777" w:rsidR="00DD0D6E" w:rsidRPr="00DD0D6E" w:rsidRDefault="00DD0D6E" w:rsidP="00714222">
      <w:pPr>
        <w:numPr>
          <w:ilvl w:val="0"/>
          <w:numId w:val="153"/>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Ununterbrochene Genealogie von Eva über Seth, Noah, Abraham, David bis zu Jesus</w:t>
      </w:r>
    </w:p>
    <w:p w14:paraId="5205D917" w14:textId="77777777" w:rsidR="00DD0D6E" w:rsidRPr="00DD0D6E" w:rsidRDefault="00DD0D6E" w:rsidP="00714222">
      <w:pPr>
        <w:numPr>
          <w:ilvl w:val="0"/>
          <w:numId w:val="154"/>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Kosmologische Dimension:</w:t>
      </w:r>
    </w:p>
    <w:p w14:paraId="7DC308A7" w14:textId="77777777" w:rsidR="00DD0D6E" w:rsidRPr="00DD0D6E" w:rsidRDefault="00DD0D6E" w:rsidP="00714222">
      <w:pPr>
        <w:numPr>
          <w:ilvl w:val="0"/>
          <w:numId w:val="155"/>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Der Kampf zwischen den beiden "Samen" repräsentiert den übergeordneten geistlichen Konflikt</w:t>
      </w:r>
    </w:p>
    <w:p w14:paraId="299143A6" w14:textId="77777777" w:rsidR="00DD0D6E" w:rsidRPr="00DD0D6E" w:rsidRDefault="00DD0D6E" w:rsidP="00714222">
      <w:pPr>
        <w:numPr>
          <w:ilvl w:val="0"/>
          <w:numId w:val="155"/>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Die temporäre Natur der "Fersenverletzung" vs. die Finalität der "Kopfzertretung"</w:t>
      </w:r>
    </w:p>
    <w:p w14:paraId="5F7CAB68" w14:textId="77777777" w:rsidR="00DD0D6E" w:rsidRPr="00DD0D6E" w:rsidRDefault="00DD0D6E" w:rsidP="00714222">
      <w:pPr>
        <w:numPr>
          <w:ilvl w:val="0"/>
          <w:numId w:val="155"/>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Erfüllung in der Auferstehung: Die scheinbare Niederlage (Kreuzigung) führt zum endgültigen Sieg</w:t>
      </w:r>
    </w:p>
    <w:p w14:paraId="1E93E908" w14:textId="77777777" w:rsidR="00DD0D6E" w:rsidRPr="00DD0D6E" w:rsidRDefault="00DD0D6E" w:rsidP="00DD0D6E">
      <w:p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Diese erste Prophezeiung enthält bereits in konzentrierter Form den gesamten Heilsplan:</w:t>
      </w:r>
    </w:p>
    <w:p w14:paraId="597FD22A" w14:textId="77777777" w:rsidR="00DD0D6E" w:rsidRPr="00DD0D6E" w:rsidRDefault="00DD0D6E" w:rsidP="00714222">
      <w:pPr>
        <w:numPr>
          <w:ilvl w:val="0"/>
          <w:numId w:val="156"/>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Die Art des Leidens (Durchbohrung)</w:t>
      </w:r>
    </w:p>
    <w:p w14:paraId="35FD9E9A" w14:textId="77777777" w:rsidR="00DD0D6E" w:rsidRPr="00DD0D6E" w:rsidRDefault="00DD0D6E" w:rsidP="00714222">
      <w:pPr>
        <w:numPr>
          <w:ilvl w:val="0"/>
          <w:numId w:val="156"/>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Die übernatürliche Geburt (Same der Frau)</w:t>
      </w:r>
    </w:p>
    <w:p w14:paraId="52E5BE1D" w14:textId="77777777" w:rsidR="00DD0D6E" w:rsidRPr="00DD0D6E" w:rsidRDefault="00DD0D6E" w:rsidP="00714222">
      <w:pPr>
        <w:numPr>
          <w:ilvl w:val="0"/>
          <w:numId w:val="156"/>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Den temporären Charakter des Todes (nur Ferse)</w:t>
      </w:r>
    </w:p>
    <w:p w14:paraId="32673C6A" w14:textId="77777777" w:rsidR="00DD0D6E" w:rsidRPr="00DD0D6E" w:rsidRDefault="00DD0D6E" w:rsidP="00714222">
      <w:pPr>
        <w:numPr>
          <w:ilvl w:val="0"/>
          <w:numId w:val="156"/>
        </w:num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t>Den endgültigen Sieg (Kopf zertreten)</w:t>
      </w:r>
    </w:p>
    <w:p w14:paraId="7515A5F9" w14:textId="77777777" w:rsidR="00DD0D6E" w:rsidRPr="00611FE2" w:rsidRDefault="00DD0D6E" w:rsidP="00611FE2">
      <w:pPr>
        <w:spacing w:before="100" w:beforeAutospacing="1" w:after="100" w:afterAutospacing="1"/>
        <w:rPr>
          <w:rFonts w:ascii="Times New Roman" w:eastAsia="Times New Roman" w:hAnsi="Times New Roman"/>
          <w:lang w:eastAsia="de-DE"/>
        </w:rPr>
      </w:pPr>
      <w:r w:rsidRPr="00DD0D6E">
        <w:rPr>
          <w:rFonts w:ascii="Times New Roman" w:eastAsia="Times New Roman" w:hAnsi="Times New Roman"/>
          <w:lang w:eastAsia="de-DE"/>
        </w:rPr>
        <w:lastRenderedPageBreak/>
        <w:t>Die präzise Erfüllung</w:t>
      </w:r>
      <w:r w:rsidR="00A14EA8">
        <w:rPr>
          <w:rFonts w:ascii="Times New Roman" w:eastAsia="Times New Roman" w:hAnsi="Times New Roman"/>
          <w:lang w:eastAsia="de-DE"/>
        </w:rPr>
        <w:t xml:space="preserve"> nach</w:t>
      </w:r>
      <w:r w:rsidRPr="00DD0D6E">
        <w:rPr>
          <w:rFonts w:ascii="Times New Roman" w:eastAsia="Times New Roman" w:hAnsi="Times New Roman"/>
          <w:lang w:eastAsia="de-DE"/>
        </w:rPr>
        <w:t xml:space="preserve"> Jahren unterstreicht die außergewöhnliche Natur dieser Prophezeiung und ihre zentrale Bedeutung für das Verständnis der gesamten biblischen Heilsgeschichte.</w:t>
      </w:r>
    </w:p>
    <w:p w14:paraId="07821E9E" w14:textId="77777777" w:rsidR="00141719" w:rsidRDefault="00141719" w:rsidP="009709EC">
      <w:pPr>
        <w:pStyle w:val="berschrift2"/>
      </w:pPr>
      <w:r>
        <w:t>2.2 Alttestamentliche Prophezeiungen</w:t>
      </w:r>
      <w:r w:rsidR="000B0758">
        <w:t xml:space="preserve"> einer kommenden Finsternis</w:t>
      </w:r>
    </w:p>
    <w:p w14:paraId="1F304644" w14:textId="77777777" w:rsidR="000B0758" w:rsidRDefault="000B0758" w:rsidP="000B0758">
      <w:pPr>
        <w:pStyle w:val="berschrift3"/>
      </w:pPr>
      <w:r>
        <w:t>Jesaja 5,30</w:t>
      </w:r>
    </w:p>
    <w:p w14:paraId="2380FB87" w14:textId="77777777" w:rsidR="000B0758" w:rsidRDefault="000B0758" w:rsidP="001B6D02">
      <w:pPr>
        <w:pStyle w:val="StandardWeb"/>
        <w:numPr>
          <w:ilvl w:val="0"/>
          <w:numId w:val="26"/>
        </w:numPr>
      </w:pPr>
      <w:r>
        <w:rPr>
          <w:rStyle w:val="Fett"/>
        </w:rPr>
        <w:t>Hebräisch:</w:t>
      </w:r>
      <w:r>
        <w:t xml:space="preserve"> וְיִנְהֹם עָלָיו בַּיּוֹם הַהוּא כְּנַהֲמַת־יָם וְנִבַּט לָאָרֶץ וְהִנֵּה־חֹשֶׁךְ צַר וָאוֹר חָשַׁךְ בַּעֲרִיפֶיהָ</w:t>
      </w:r>
    </w:p>
    <w:p w14:paraId="510F908E" w14:textId="77777777" w:rsidR="000B0758" w:rsidRDefault="000B0758" w:rsidP="001B6D02">
      <w:pPr>
        <w:pStyle w:val="StandardWeb"/>
        <w:numPr>
          <w:ilvl w:val="0"/>
          <w:numId w:val="26"/>
        </w:numPr>
      </w:pPr>
      <w:r>
        <w:rPr>
          <w:rStyle w:val="Fett"/>
        </w:rPr>
        <w:t>Übersetzung:</w:t>
      </w:r>
      <w:r>
        <w:t xml:space="preserve"> "Und sie brüllt über ihr an jenem Tag wie das Brausen des Meeres. Und blickt man zur Erde, siehe, angstvolle Finsternis; und das Licht ist verfinstert durch ihr Gewölk."</w:t>
      </w:r>
    </w:p>
    <w:p w14:paraId="137482E3" w14:textId="77777777" w:rsidR="000B0758" w:rsidRDefault="000B0758" w:rsidP="000B0758">
      <w:pPr>
        <w:pStyle w:val="berschrift3"/>
      </w:pPr>
      <w:r>
        <w:t>Jesaja 13,10</w:t>
      </w:r>
    </w:p>
    <w:p w14:paraId="20EAFC97" w14:textId="77777777" w:rsidR="000B0758" w:rsidRDefault="000B0758" w:rsidP="001B6D02">
      <w:pPr>
        <w:pStyle w:val="StandardWeb"/>
        <w:numPr>
          <w:ilvl w:val="0"/>
          <w:numId w:val="27"/>
        </w:numPr>
      </w:pPr>
      <w:r>
        <w:rPr>
          <w:rStyle w:val="Fett"/>
        </w:rPr>
        <w:t>Hebräisch:</w:t>
      </w:r>
      <w:r>
        <w:t xml:space="preserve"> כִּי־כוֹכְבֵי הַשָּׁמַיִם וּכְסִילֵיהֶם לֹא יָהֵלּוּ אוֹרָם חָשַׁךְ הַשֶּׁמֶשׁ בְּצֵאתוֹ וְיָרֵחַ לֹא־יַגִּיהַ אוֹרוֹ</w:t>
      </w:r>
    </w:p>
    <w:p w14:paraId="117101A6" w14:textId="77777777" w:rsidR="000B0758" w:rsidRDefault="000B0758" w:rsidP="001B6D02">
      <w:pPr>
        <w:pStyle w:val="StandardWeb"/>
        <w:numPr>
          <w:ilvl w:val="0"/>
          <w:numId w:val="27"/>
        </w:numPr>
      </w:pPr>
      <w:r>
        <w:rPr>
          <w:rStyle w:val="Fett"/>
        </w:rPr>
        <w:t>Übersetzung:</w:t>
      </w:r>
      <w:r>
        <w:t xml:space="preserve"> "Denn die Sterne des Himmels und ihre Sternbilder werden ihr Licht nicht leuchten lassen; die Sonne wird finster sein bei ihrem Aufgang, und der Mond wird sein Licht nicht scheinen lassen."</w:t>
      </w:r>
    </w:p>
    <w:p w14:paraId="4217D2B1" w14:textId="77777777" w:rsidR="000B0758" w:rsidRDefault="000B0758" w:rsidP="000B0758">
      <w:pPr>
        <w:pStyle w:val="berschrift3"/>
      </w:pPr>
      <w:r>
        <w:t>Jeremia 4,28</w:t>
      </w:r>
    </w:p>
    <w:p w14:paraId="0578B9E7" w14:textId="77777777" w:rsidR="000B0758" w:rsidRDefault="000B0758" w:rsidP="001B6D02">
      <w:pPr>
        <w:pStyle w:val="StandardWeb"/>
        <w:numPr>
          <w:ilvl w:val="0"/>
          <w:numId w:val="28"/>
        </w:numPr>
      </w:pPr>
      <w:r>
        <w:rPr>
          <w:rStyle w:val="Fett"/>
        </w:rPr>
        <w:t>Hebräisch:</w:t>
      </w:r>
      <w:r>
        <w:t xml:space="preserve"> עַל־זֹאת תֶּאֱבַל הָאָרֶץ וְקָדְרוּ הַשָּׁמַיִם מִמָּעַל כִּי־דִבַּרְתִּי זַמֹּתִי וְלֹא נִחַמְתִּי וְלֹא־אָשׁוּב מִמֶּנָּה</w:t>
      </w:r>
    </w:p>
    <w:p w14:paraId="5C9CD170" w14:textId="77777777" w:rsidR="000B0758" w:rsidRDefault="000B0758" w:rsidP="001B6D02">
      <w:pPr>
        <w:pStyle w:val="StandardWeb"/>
        <w:numPr>
          <w:ilvl w:val="0"/>
          <w:numId w:val="28"/>
        </w:numPr>
      </w:pPr>
      <w:r>
        <w:rPr>
          <w:rStyle w:val="Fett"/>
        </w:rPr>
        <w:t>Übersetzung:</w:t>
      </w:r>
      <w:r>
        <w:t xml:space="preserve"> "Darüber wird die Erde trauern und der Himmel oben sich verfinstern; denn ich habe es geredet, ich habe es beschlossen und werde es nicht bereuen und nicht davon ablassen."</w:t>
      </w:r>
    </w:p>
    <w:p w14:paraId="1CAA22BD" w14:textId="77777777" w:rsidR="000B0758" w:rsidRDefault="000B0758" w:rsidP="000B0758">
      <w:pPr>
        <w:pStyle w:val="berschrift3"/>
      </w:pPr>
      <w:r>
        <w:lastRenderedPageBreak/>
        <w:t>Hesekiel 32,8</w:t>
      </w:r>
    </w:p>
    <w:p w14:paraId="3CCB18FD" w14:textId="77777777" w:rsidR="000B0758" w:rsidRDefault="000B0758" w:rsidP="001B6D02">
      <w:pPr>
        <w:pStyle w:val="StandardWeb"/>
        <w:numPr>
          <w:ilvl w:val="0"/>
          <w:numId w:val="29"/>
        </w:numPr>
      </w:pPr>
      <w:r>
        <w:rPr>
          <w:rStyle w:val="Fett"/>
        </w:rPr>
        <w:t>Hebräisch:</w:t>
      </w:r>
      <w:r>
        <w:t xml:space="preserve"> כָּל־מְאוֹרֵי אוֹר בַּשָּׁמַיִם אַקְדִּירֵם עָלֶיךָ וְנָתַתִּי חֹשֶׁךְ עַל־אַרְצְךָ נְאֻם אֲדֹנָי יְהוִה</w:t>
      </w:r>
    </w:p>
    <w:p w14:paraId="620BD339" w14:textId="77777777" w:rsidR="000B0758" w:rsidRDefault="000B0758" w:rsidP="001B6D02">
      <w:pPr>
        <w:pStyle w:val="StandardWeb"/>
        <w:numPr>
          <w:ilvl w:val="0"/>
          <w:numId w:val="29"/>
        </w:numPr>
      </w:pPr>
      <w:r>
        <w:rPr>
          <w:rStyle w:val="Fett"/>
        </w:rPr>
        <w:t>Übersetzung:</w:t>
      </w:r>
      <w:r>
        <w:t xml:space="preserve"> "Alle leuchtenden Lichter am Himmel verdunkle ich deinetwegen und bringe Finsternis über dein Land, spricht der Herr, HERR."</w:t>
      </w:r>
    </w:p>
    <w:p w14:paraId="35101927" w14:textId="77777777" w:rsidR="000B0758" w:rsidRDefault="000B0758" w:rsidP="000B0758">
      <w:pPr>
        <w:pStyle w:val="berschrift3"/>
      </w:pPr>
      <w:r>
        <w:t>Amos 8,9</w:t>
      </w:r>
    </w:p>
    <w:p w14:paraId="0B0FD90C" w14:textId="77777777" w:rsidR="000B0758" w:rsidRDefault="000B0758" w:rsidP="001B6D02">
      <w:pPr>
        <w:pStyle w:val="StandardWeb"/>
        <w:numPr>
          <w:ilvl w:val="0"/>
          <w:numId w:val="30"/>
        </w:numPr>
      </w:pPr>
      <w:r>
        <w:rPr>
          <w:rStyle w:val="Fett"/>
        </w:rPr>
        <w:t>Hebräisch:</w:t>
      </w:r>
      <w:r>
        <w:t xml:space="preserve"> וְהָיָה בַּיּוֹם הַהוּא נְאֻם אֲדֹנָי יְהוִה וְהֵבֵאתִי הַשֶּׁמֶשׁ בַּצָּהֳרָיִם וְהַחֲשַׁכְתִּי לָאָרֶץ בְּיוֹם אוֹר</w:t>
      </w:r>
    </w:p>
    <w:p w14:paraId="5AB01D34" w14:textId="77777777" w:rsidR="000B0758" w:rsidRDefault="000B0758" w:rsidP="001B6D02">
      <w:pPr>
        <w:pStyle w:val="StandardWeb"/>
        <w:numPr>
          <w:ilvl w:val="0"/>
          <w:numId w:val="30"/>
        </w:numPr>
      </w:pPr>
      <w:r>
        <w:rPr>
          <w:rStyle w:val="Fett"/>
        </w:rPr>
        <w:t>Übersetzung:</w:t>
      </w:r>
      <w:r>
        <w:t xml:space="preserve"> "An jenem Tag, spricht der Herr, HERR, lasse ich die Sonne am Mittag untergehen und bringe Finsternis über die Erde am hellen Tag."</w:t>
      </w:r>
    </w:p>
    <w:p w14:paraId="1DCFDF1E" w14:textId="77777777" w:rsidR="000B0758" w:rsidRDefault="000B0758" w:rsidP="000B0758">
      <w:pPr>
        <w:pStyle w:val="berschrift3"/>
      </w:pPr>
      <w:r>
        <w:t>Joel 2,2</w:t>
      </w:r>
    </w:p>
    <w:p w14:paraId="69FEDF80" w14:textId="77777777" w:rsidR="000B0758" w:rsidRDefault="000B0758" w:rsidP="001B6D02">
      <w:pPr>
        <w:pStyle w:val="StandardWeb"/>
        <w:numPr>
          <w:ilvl w:val="0"/>
          <w:numId w:val="31"/>
        </w:numPr>
      </w:pPr>
      <w:r>
        <w:rPr>
          <w:rStyle w:val="Fett"/>
        </w:rPr>
        <w:t>Hebräisch:</w:t>
      </w:r>
      <w:r>
        <w:t xml:space="preserve"> יוֹם חֹשֶׁךְ וַאֲפֵלָה יוֹם עָנָן וַעֲרָפֶל</w:t>
      </w:r>
    </w:p>
    <w:p w14:paraId="2C3418A9" w14:textId="77777777" w:rsidR="000B0758" w:rsidRDefault="000B0758" w:rsidP="001B6D02">
      <w:pPr>
        <w:pStyle w:val="StandardWeb"/>
        <w:numPr>
          <w:ilvl w:val="0"/>
          <w:numId w:val="31"/>
        </w:numPr>
      </w:pPr>
      <w:r>
        <w:rPr>
          <w:rStyle w:val="Fett"/>
        </w:rPr>
        <w:t>Übersetzung:</w:t>
      </w:r>
      <w:r>
        <w:t xml:space="preserve"> "Ein Tag der Finsternis und der Dunkelheit, ein Tag des Gewölks und des Wolkendunkels."</w:t>
      </w:r>
    </w:p>
    <w:p w14:paraId="219A9EB4" w14:textId="77777777" w:rsidR="000B0758" w:rsidRDefault="000B0758" w:rsidP="000B0758">
      <w:pPr>
        <w:pStyle w:val="berschrift3"/>
      </w:pPr>
      <w:r>
        <w:t>Joel 2,10</w:t>
      </w:r>
    </w:p>
    <w:p w14:paraId="0E93175C" w14:textId="77777777" w:rsidR="000B0758" w:rsidRDefault="000B0758" w:rsidP="001B6D02">
      <w:pPr>
        <w:pStyle w:val="StandardWeb"/>
        <w:numPr>
          <w:ilvl w:val="0"/>
          <w:numId w:val="32"/>
        </w:numPr>
      </w:pPr>
      <w:r>
        <w:rPr>
          <w:rStyle w:val="Fett"/>
        </w:rPr>
        <w:t>Hebräisch:</w:t>
      </w:r>
      <w:r>
        <w:t xml:space="preserve"> לְפָנָיו רָגְזָה אֶרֶץ רָעֲשׁוּ שָׁמָיִם שֶׁמֶשׁ וְיָרֵחַ קָדָרוּ וְכוֹכָבִים אָסְפוּ נָגְהָם</w:t>
      </w:r>
    </w:p>
    <w:p w14:paraId="4045D737" w14:textId="77777777" w:rsidR="000B0758" w:rsidRDefault="000B0758" w:rsidP="001B6D02">
      <w:pPr>
        <w:pStyle w:val="StandardWeb"/>
        <w:numPr>
          <w:ilvl w:val="0"/>
          <w:numId w:val="32"/>
        </w:numPr>
      </w:pPr>
      <w:r>
        <w:rPr>
          <w:rStyle w:val="Fett"/>
        </w:rPr>
        <w:t>Übersetzung:</w:t>
      </w:r>
      <w:r>
        <w:t xml:space="preserve"> "Vor ihm erbebt die Erde, erzittert der Himmel; Sonne und Mond verfinstern sich, und die Sterne verlieren ihren Glanz."</w:t>
      </w:r>
    </w:p>
    <w:p w14:paraId="59D1AE4C" w14:textId="77777777" w:rsidR="000B0758" w:rsidRDefault="000B0758" w:rsidP="000B0758">
      <w:pPr>
        <w:pStyle w:val="berschrift3"/>
      </w:pPr>
      <w:r>
        <w:t>Joel 2,31</w:t>
      </w:r>
    </w:p>
    <w:p w14:paraId="7E52CD0B" w14:textId="77777777" w:rsidR="000B0758" w:rsidRDefault="000B0758" w:rsidP="001B6D02">
      <w:pPr>
        <w:pStyle w:val="StandardWeb"/>
        <w:numPr>
          <w:ilvl w:val="0"/>
          <w:numId w:val="33"/>
        </w:numPr>
      </w:pPr>
      <w:r>
        <w:rPr>
          <w:rStyle w:val="Fett"/>
        </w:rPr>
        <w:t>Hebräisch:</w:t>
      </w:r>
      <w:r>
        <w:t xml:space="preserve"> הַשֶּׁמֶשׁ יֵהָפֵךְ לְחֹשֶׁךְ וְהַיָּרֵחַ לְדָם לִפְנֵי בּוֹא יוֹם יְהוָה הַגָּדוֹל וְהַנּוֹרָא</w:t>
      </w:r>
    </w:p>
    <w:p w14:paraId="2F6F4F9F" w14:textId="77777777" w:rsidR="000B0758" w:rsidRDefault="000B0758" w:rsidP="001B6D02">
      <w:pPr>
        <w:pStyle w:val="StandardWeb"/>
        <w:numPr>
          <w:ilvl w:val="0"/>
          <w:numId w:val="33"/>
        </w:numPr>
      </w:pPr>
      <w:r>
        <w:rPr>
          <w:rStyle w:val="Fett"/>
        </w:rPr>
        <w:lastRenderedPageBreak/>
        <w:t>Übersetzung:</w:t>
      </w:r>
      <w:r>
        <w:t xml:space="preserve"> "Die Sonne wird sich in Finsternis verwandeln und der Mond in Blut, ehe der Tag des HERRN kommt, der große und furchtbare."</w:t>
      </w:r>
    </w:p>
    <w:p w14:paraId="349A8245" w14:textId="77777777" w:rsidR="00CF5C93" w:rsidRDefault="00CF5C93" w:rsidP="00CF5C93">
      <w:pPr>
        <w:pStyle w:val="berschrift2"/>
        <w:rPr>
          <w:sz w:val="48"/>
          <w:szCs w:val="48"/>
        </w:rPr>
      </w:pPr>
      <w:r>
        <w:t>2.3 Die Sacharja-Prophetien</w:t>
      </w:r>
    </w:p>
    <w:p w14:paraId="48A8D049" w14:textId="77777777" w:rsidR="00CF5C93" w:rsidRDefault="00CF5C93" w:rsidP="00CF5C93">
      <w:pPr>
        <w:pStyle w:val="whitespace-pre-wrap"/>
      </w:pPr>
      <w:r>
        <w:t>Die Prophezeiungen Sacharjas über den Messias sind von bemerkenswerter Präzision, besonders in Bezug auf Details der Kreuzigung, die zur Zeit Sacharjas (etwa 520-518 v.Chr.) als Hinrichtungsmethode noch nicht bekannt war.</w:t>
      </w:r>
    </w:p>
    <w:p w14:paraId="4B4C2A08" w14:textId="77777777" w:rsidR="00CF5C93" w:rsidRDefault="00CF5C93" w:rsidP="00CF5C93">
      <w:pPr>
        <w:pStyle w:val="whitespace-pre-wrap"/>
      </w:pPr>
      <w:r>
        <w:rPr>
          <w:rStyle w:val="Fett"/>
        </w:rPr>
        <w:t>Sacharja 12,10</w:t>
      </w:r>
      <w:r>
        <w:t>: "Sie werden auf mich blicken, den sie durchbohrt haben"</w:t>
      </w:r>
    </w:p>
    <w:p w14:paraId="1175E8C5" w14:textId="77777777" w:rsidR="00CF5C93" w:rsidRDefault="00CF5C93" w:rsidP="00714222">
      <w:pPr>
        <w:numPr>
          <w:ilvl w:val="0"/>
          <w:numId w:val="299"/>
        </w:numPr>
        <w:spacing w:before="100" w:beforeAutospacing="1" w:after="100" w:afterAutospacing="1"/>
      </w:pPr>
      <w:r>
        <w:rPr>
          <w:rStyle w:val="Fett"/>
        </w:rPr>
        <w:t>Hebräisch</w:t>
      </w:r>
      <w:r>
        <w:t>: וְהִבִּיטוּ אֵלַי אֵת אֲשֶׁר־דָּקָרוּ</w:t>
      </w:r>
    </w:p>
    <w:p w14:paraId="44DF8EA9" w14:textId="77777777" w:rsidR="00CF5C93" w:rsidRDefault="00CF5C93" w:rsidP="00714222">
      <w:pPr>
        <w:numPr>
          <w:ilvl w:val="0"/>
          <w:numId w:val="299"/>
        </w:numPr>
        <w:spacing w:before="100" w:beforeAutospacing="1" w:after="100" w:afterAutospacing="1"/>
      </w:pPr>
      <w:r>
        <w:t>Das Verb דָּקַר (daqar) bedeutet spezifisch "durchstechen/durchbohren" und wird für das Durchdringen mit einer Waffe verwendet</w:t>
      </w:r>
    </w:p>
    <w:p w14:paraId="5374729A" w14:textId="77777777" w:rsidR="00CF5C93" w:rsidRDefault="00CF5C93" w:rsidP="00714222">
      <w:pPr>
        <w:numPr>
          <w:ilvl w:val="0"/>
          <w:numId w:val="299"/>
        </w:numPr>
        <w:spacing w:before="100" w:beforeAutospacing="1" w:after="100" w:afterAutospacing="1"/>
      </w:pPr>
      <w:r>
        <w:t>Die Stelle sagt präzise den Lanzenstich voraus, wie er in Johannes 19,34 beschrieben wird</w:t>
      </w:r>
    </w:p>
    <w:p w14:paraId="447C10EF" w14:textId="77777777" w:rsidR="00CF5C93" w:rsidRDefault="00CF5C93" w:rsidP="00714222">
      <w:pPr>
        <w:numPr>
          <w:ilvl w:val="0"/>
          <w:numId w:val="299"/>
        </w:numPr>
        <w:spacing w:before="100" w:beforeAutospacing="1" w:after="100" w:afterAutospacing="1"/>
      </w:pPr>
      <w:r>
        <w:t>Die prophetische Perspektive ist bemerkenswert: JHWH selbst spricht von seiner Durchbohrung</w:t>
      </w:r>
    </w:p>
    <w:p w14:paraId="16C14C0D" w14:textId="77777777" w:rsidR="00CF5C93" w:rsidRDefault="00CF5C93" w:rsidP="00CF5C93">
      <w:pPr>
        <w:pStyle w:val="whitespace-pre-wrap"/>
      </w:pPr>
      <w:r>
        <w:rPr>
          <w:rStyle w:val="Fett"/>
        </w:rPr>
        <w:t>Sacharja 13,6</w:t>
      </w:r>
      <w:r>
        <w:t>: "Was sind das für Wunden in deinen Händen? Die habe ich empfangen im Haus derer, die mich lieben"</w:t>
      </w:r>
    </w:p>
    <w:p w14:paraId="73CC4C1F" w14:textId="77777777" w:rsidR="00CF5C93" w:rsidRDefault="00CF5C93" w:rsidP="00714222">
      <w:pPr>
        <w:numPr>
          <w:ilvl w:val="0"/>
          <w:numId w:val="300"/>
        </w:numPr>
        <w:spacing w:before="100" w:beforeAutospacing="1" w:after="100" w:afterAutospacing="1"/>
      </w:pPr>
      <w:r>
        <w:rPr>
          <w:rStyle w:val="Fett"/>
        </w:rPr>
        <w:t>Hebräisch</w:t>
      </w:r>
      <w:r>
        <w:t>: מָה הַמַּכּוֹת הָאֵלֶּה בֵּין יָדֶיךָ</w:t>
      </w:r>
    </w:p>
    <w:p w14:paraId="7CCB3851" w14:textId="77777777" w:rsidR="00CF5C93" w:rsidRDefault="00CF5C93" w:rsidP="00714222">
      <w:pPr>
        <w:numPr>
          <w:ilvl w:val="0"/>
          <w:numId w:val="300"/>
        </w:numPr>
        <w:spacing w:before="100" w:beforeAutospacing="1" w:after="100" w:afterAutospacing="1"/>
      </w:pPr>
      <w:r>
        <w:t>Der Begriff מַכּוֹת (makkot) bezeichnet spezifisch Verletzungen durch Gewalteinwirkung</w:t>
      </w:r>
    </w:p>
    <w:p w14:paraId="157D4E0D" w14:textId="77777777" w:rsidR="00CF5C93" w:rsidRDefault="36CFF5BA" w:rsidP="36CFF5BA">
      <w:pPr>
        <w:numPr>
          <w:ilvl w:val="0"/>
          <w:numId w:val="300"/>
        </w:numPr>
        <w:spacing w:beforeAutospacing="1" w:afterAutospacing="1" w:line="259" w:lineRule="auto"/>
      </w:pPr>
      <w:r>
        <w:t>Die Lokalisierung "zwischen den Händen" (</w:t>
      </w:r>
      <w:r>
        <w:rPr>
          <w:rtl/>
        </w:rPr>
        <w:t>בֵּין יָדֶיך</w:t>
      </w:r>
      <w:r>
        <w:t xml:space="preserve">ָ) </w:t>
      </w:r>
      <w:r w:rsidRPr="36CFF5BA">
        <w:t>entspricht der anatomisch korrekten Position der Kreuzigungsnägel im Handgelenksbereich</w:t>
      </w:r>
    </w:p>
    <w:p w14:paraId="004C96F8" w14:textId="77777777" w:rsidR="00CF5C93" w:rsidRDefault="15DE3627" w:rsidP="15DE3627">
      <w:pPr>
        <w:numPr>
          <w:ilvl w:val="0"/>
          <w:numId w:val="300"/>
        </w:numPr>
        <w:spacing w:before="100" w:beforeAutospacing="1" w:after="100" w:afterAutospacing="1"/>
      </w:pPr>
      <w:r>
        <w:lastRenderedPageBreak/>
        <w:t>Die bittere Ironie der Antwort: Die Wunden entstanden "im Haus meiner Freunde" (</w:t>
      </w:r>
      <w:r>
        <w:rPr>
          <w:rtl/>
        </w:rPr>
        <w:t>בֵּית מְאַהֲבָי</w:t>
      </w:r>
      <w:r>
        <w:t>)</w:t>
      </w:r>
    </w:p>
    <w:p w14:paraId="6BCAAF23" w14:textId="63D01CE2" w:rsidR="15DE3627" w:rsidRDefault="15DE3627" w:rsidP="15DE3627">
      <w:pPr>
        <w:pStyle w:val="whitespace-pre-wrap"/>
        <w:rPr>
          <w:rStyle w:val="Fett"/>
        </w:rPr>
      </w:pPr>
    </w:p>
    <w:p w14:paraId="7E712C2C" w14:textId="193180AB" w:rsidR="15DE3627" w:rsidRDefault="15DE3627" w:rsidP="15DE3627">
      <w:pPr>
        <w:pStyle w:val="whitespace-pre-wrap"/>
        <w:rPr>
          <w:rStyle w:val="Fett"/>
        </w:rPr>
      </w:pPr>
    </w:p>
    <w:p w14:paraId="6D97B89F" w14:textId="77777777" w:rsidR="00CF5C93" w:rsidRDefault="00CF5C93" w:rsidP="00CF5C93">
      <w:pPr>
        <w:pStyle w:val="whitespace-pre-wrap"/>
      </w:pPr>
      <w:r>
        <w:rPr>
          <w:rStyle w:val="Fett"/>
        </w:rPr>
        <w:t>Historische Dimension:</w:t>
      </w:r>
    </w:p>
    <w:p w14:paraId="64BE0D72" w14:textId="77777777" w:rsidR="00CF5C93" w:rsidRDefault="00CF5C93" w:rsidP="00714222">
      <w:pPr>
        <w:numPr>
          <w:ilvl w:val="0"/>
          <w:numId w:val="301"/>
        </w:numPr>
        <w:spacing w:before="100" w:beforeAutospacing="1" w:after="100" w:afterAutospacing="1"/>
      </w:pPr>
      <w:r>
        <w:t>Zur Zeit Sacharjas war die Kreuzigung als Hinrichtungsmethode im persischen Reich unbekannt</w:t>
      </w:r>
    </w:p>
    <w:p w14:paraId="752E4040" w14:textId="77777777" w:rsidR="00CF5C93" w:rsidRDefault="00CF5C93" w:rsidP="00714222">
      <w:pPr>
        <w:numPr>
          <w:ilvl w:val="0"/>
          <w:numId w:val="301"/>
        </w:numPr>
        <w:spacing w:before="100" w:beforeAutospacing="1" w:after="100" w:afterAutospacing="1"/>
      </w:pPr>
      <w:r>
        <w:t>Die Perser praktizierten Pfählung und Aufspießung, nicht aber die spezifische Form der römischen Kreuzigung</w:t>
      </w:r>
    </w:p>
    <w:p w14:paraId="265D0EBB" w14:textId="77777777" w:rsidR="00CF5C93" w:rsidRDefault="00CF5C93" w:rsidP="00714222">
      <w:pPr>
        <w:numPr>
          <w:ilvl w:val="0"/>
          <w:numId w:val="301"/>
        </w:numPr>
        <w:spacing w:before="100" w:beforeAutospacing="1" w:after="100" w:afterAutospacing="1"/>
      </w:pPr>
      <w:r>
        <w:t>Die Details der Prophezeiung waren daher nicht aus dem kulturellen Kontext ableitbar</w:t>
      </w:r>
    </w:p>
    <w:p w14:paraId="1324E39A" w14:textId="77777777" w:rsidR="00CF5C93" w:rsidRDefault="00CF5C93" w:rsidP="00CF5C93">
      <w:pPr>
        <w:pStyle w:val="whitespace-pre-wrap"/>
      </w:pPr>
      <w:r>
        <w:rPr>
          <w:rStyle w:val="Fett"/>
        </w:rPr>
        <w:t>Erfüllungsaspekte:</w:t>
      </w:r>
    </w:p>
    <w:p w14:paraId="4F95DBA1" w14:textId="77777777" w:rsidR="00CF5C93" w:rsidRDefault="00CF5C93" w:rsidP="00714222">
      <w:pPr>
        <w:numPr>
          <w:ilvl w:val="0"/>
          <w:numId w:val="302"/>
        </w:numPr>
        <w:spacing w:before="100" w:beforeAutospacing="1" w:after="100" w:afterAutospacing="1"/>
      </w:pPr>
      <w:r>
        <w:t xml:space="preserve">Die physische Durchbohrung durch: </w:t>
      </w:r>
    </w:p>
    <w:p w14:paraId="666A2D80" w14:textId="77777777" w:rsidR="00CF5C93" w:rsidRDefault="00CF5C93" w:rsidP="00714222">
      <w:pPr>
        <w:numPr>
          <w:ilvl w:val="1"/>
          <w:numId w:val="302"/>
        </w:numPr>
        <w:spacing w:before="100" w:beforeAutospacing="1" w:after="100" w:afterAutospacing="1"/>
      </w:pPr>
      <w:r>
        <w:t>Nägel in Handgelenken und Füßen</w:t>
      </w:r>
    </w:p>
    <w:p w14:paraId="72F91DAF" w14:textId="77777777" w:rsidR="00CF5C93" w:rsidRDefault="00CF5C93" w:rsidP="00714222">
      <w:pPr>
        <w:numPr>
          <w:ilvl w:val="1"/>
          <w:numId w:val="302"/>
        </w:numPr>
        <w:spacing w:before="100" w:beforeAutospacing="1" w:after="100" w:afterAutospacing="1"/>
      </w:pPr>
      <w:r>
        <w:t>Lanzenstich in die Seite</w:t>
      </w:r>
    </w:p>
    <w:p w14:paraId="29C8EB3A" w14:textId="77777777" w:rsidR="00CF5C93" w:rsidRDefault="00CF5C93" w:rsidP="00714222">
      <w:pPr>
        <w:numPr>
          <w:ilvl w:val="1"/>
          <w:numId w:val="302"/>
        </w:numPr>
        <w:spacing w:before="100" w:beforeAutospacing="1" w:after="100" w:afterAutospacing="1"/>
      </w:pPr>
      <w:r>
        <w:t>Dornenkrone am Kopf</w:t>
      </w:r>
    </w:p>
    <w:p w14:paraId="04E11AA2" w14:textId="77777777" w:rsidR="00CF5C93" w:rsidRDefault="00CF5C93" w:rsidP="00714222">
      <w:pPr>
        <w:numPr>
          <w:ilvl w:val="0"/>
          <w:numId w:val="302"/>
        </w:numPr>
        <w:spacing w:before="100" w:beforeAutospacing="1" w:after="100" w:afterAutospacing="1"/>
      </w:pPr>
      <w:r>
        <w:t xml:space="preserve">Die emotionale Dimension: </w:t>
      </w:r>
    </w:p>
    <w:p w14:paraId="58F44645" w14:textId="77777777" w:rsidR="00CF5C93" w:rsidRDefault="00CF5C93" w:rsidP="00714222">
      <w:pPr>
        <w:numPr>
          <w:ilvl w:val="1"/>
          <w:numId w:val="302"/>
        </w:numPr>
        <w:spacing w:before="100" w:beforeAutospacing="1" w:after="100" w:afterAutospacing="1"/>
      </w:pPr>
      <w:r>
        <w:t>Ablehnung durch das eigene Volk ("Haus derer, die mich lieben")</w:t>
      </w:r>
    </w:p>
    <w:p w14:paraId="188FC908" w14:textId="77777777" w:rsidR="00CF5C93" w:rsidRDefault="00CF5C93" w:rsidP="00714222">
      <w:pPr>
        <w:numPr>
          <w:ilvl w:val="1"/>
          <w:numId w:val="302"/>
        </w:numPr>
        <w:spacing w:before="100" w:beforeAutospacing="1" w:after="100" w:afterAutospacing="1"/>
      </w:pPr>
      <w:r>
        <w:t>Verrat durch einen engen Freund</w:t>
      </w:r>
    </w:p>
    <w:p w14:paraId="3CF11124" w14:textId="77777777" w:rsidR="00CF5C93" w:rsidRDefault="00CF5C93" w:rsidP="00714222">
      <w:pPr>
        <w:numPr>
          <w:ilvl w:val="1"/>
          <w:numId w:val="302"/>
        </w:numPr>
        <w:spacing w:before="100" w:beforeAutospacing="1" w:after="100" w:afterAutospacing="1"/>
      </w:pPr>
      <w:r>
        <w:t>Verlassenheit selbst von Gott</w:t>
      </w:r>
    </w:p>
    <w:p w14:paraId="11C987FB" w14:textId="77777777" w:rsidR="00CF5C93" w:rsidRDefault="00CF5C93" w:rsidP="00714222">
      <w:pPr>
        <w:numPr>
          <w:ilvl w:val="0"/>
          <w:numId w:val="302"/>
        </w:numPr>
        <w:spacing w:before="100" w:beforeAutospacing="1" w:after="100" w:afterAutospacing="1"/>
      </w:pPr>
      <w:r>
        <w:t xml:space="preserve">Die eschatologische Perspektive: </w:t>
      </w:r>
    </w:p>
    <w:p w14:paraId="2126B9C7" w14:textId="77777777" w:rsidR="00CF5C93" w:rsidRDefault="00CF5C93" w:rsidP="00714222">
      <w:pPr>
        <w:numPr>
          <w:ilvl w:val="1"/>
          <w:numId w:val="302"/>
        </w:numPr>
        <w:spacing w:before="100" w:beforeAutospacing="1" w:after="100" w:afterAutospacing="1"/>
      </w:pPr>
      <w:r>
        <w:t>Künftige Erkenntnis Israels (Sach 12,10b)</w:t>
      </w:r>
    </w:p>
    <w:p w14:paraId="4AD19374" w14:textId="77777777" w:rsidR="00CF5C93" w:rsidRDefault="00CF5C93" w:rsidP="00714222">
      <w:pPr>
        <w:numPr>
          <w:ilvl w:val="1"/>
          <w:numId w:val="302"/>
        </w:numPr>
        <w:spacing w:before="100" w:beforeAutospacing="1" w:after="100" w:afterAutospacing="1"/>
      </w:pPr>
      <w:r>
        <w:t>Nationale Buße und Umkehr</w:t>
      </w:r>
    </w:p>
    <w:p w14:paraId="7ED95547" w14:textId="77777777" w:rsidR="00CF5C93" w:rsidRDefault="00CF5C93" w:rsidP="00714222">
      <w:pPr>
        <w:numPr>
          <w:ilvl w:val="1"/>
          <w:numId w:val="302"/>
        </w:numPr>
        <w:spacing w:before="100" w:beforeAutospacing="1" w:after="100" w:afterAutospacing="1"/>
      </w:pPr>
      <w:r>
        <w:t>Öffnung einer Reinigungsquelle (Sach 13,1)</w:t>
      </w:r>
    </w:p>
    <w:p w14:paraId="5EF980F7" w14:textId="77777777" w:rsidR="00CF5C93" w:rsidRDefault="00CF5C93" w:rsidP="00CF5C93">
      <w:pPr>
        <w:pStyle w:val="whitespace-pre-wrap"/>
      </w:pPr>
      <w:r>
        <w:t xml:space="preserve">Diese Prophezeiungen Sacharjas sind bemerkenswert präzise und detailliert. Sie verbinden physische Details der Kreuzigung mit ihrer </w:t>
      </w:r>
      <w:r>
        <w:lastRenderedPageBreak/>
        <w:t>tieferen theologischen Bedeutung. Die Tatsache, dass diese spezifischen Verletzungsarten zur Zeit der Prophezeiung noch nicht als Hinrichtungsmethode existierten, unterstreicht ihren übernatürlichen Ursprung. Die emotionale Komponente der Verwundung "im Haus derer, die mich lieben" fügt der physischen Dimension eine tiefe psychologische Ebene hinzu und zeigt die komplexe Natur des messianischen Leidens.</w:t>
      </w:r>
    </w:p>
    <w:p w14:paraId="7F855416" w14:textId="77777777" w:rsidR="007C74E1" w:rsidRPr="007C74E1" w:rsidRDefault="001954E6" w:rsidP="009709EC">
      <w:pPr>
        <w:pStyle w:val="berschrift2"/>
      </w:pPr>
      <w:r>
        <w:t>2.4</w:t>
      </w:r>
      <w:r w:rsidR="007C74E1" w:rsidRPr="007C74E1">
        <w:t xml:space="preserve"> Stellen der Erfüllung im Neuen Testament</w:t>
      </w:r>
    </w:p>
    <w:p w14:paraId="483316EF" w14:textId="77777777" w:rsidR="007C74E1" w:rsidRDefault="007C74E1" w:rsidP="007C74E1">
      <w:pPr>
        <w:pStyle w:val="berschrift3"/>
      </w:pPr>
      <w:r>
        <w:t>Markus 15,33</w:t>
      </w:r>
    </w:p>
    <w:p w14:paraId="7CAFFFE2" w14:textId="77777777" w:rsidR="007C74E1" w:rsidRDefault="007C74E1" w:rsidP="001B6D02">
      <w:pPr>
        <w:pStyle w:val="StandardWeb"/>
        <w:numPr>
          <w:ilvl w:val="0"/>
          <w:numId w:val="34"/>
        </w:numPr>
      </w:pPr>
      <w:r>
        <w:rPr>
          <w:rStyle w:val="Fett"/>
        </w:rPr>
        <w:t>Griechisch:</w:t>
      </w:r>
      <w:r>
        <w:t xml:space="preserve"> Γενομένης δὲ ὥρας ἕκτης, σκότος ἐγένετο ἐφ᾽ ὅλην τὴν γῆν ἕως ὥρας ἐνάτης.</w:t>
      </w:r>
    </w:p>
    <w:p w14:paraId="71C42B91" w14:textId="77777777" w:rsidR="007C74E1" w:rsidRDefault="007C74E1" w:rsidP="001B6D02">
      <w:pPr>
        <w:pStyle w:val="StandardWeb"/>
        <w:numPr>
          <w:ilvl w:val="0"/>
          <w:numId w:val="34"/>
        </w:numPr>
      </w:pPr>
      <w:r>
        <w:rPr>
          <w:rStyle w:val="Fett"/>
        </w:rPr>
        <w:t>Übersetzung:</w:t>
      </w:r>
      <w:r>
        <w:t xml:space="preserve"> "Als es aber die sechste Stunde war, kam eine Finsternis über das ganze Land bis zur neunten Stunde."</w:t>
      </w:r>
    </w:p>
    <w:p w14:paraId="32E0B185" w14:textId="77777777" w:rsidR="007C74E1" w:rsidRDefault="007C74E1" w:rsidP="007C74E1">
      <w:pPr>
        <w:pStyle w:val="berschrift3"/>
      </w:pPr>
      <w:r>
        <w:t>Lukas 23,44</w:t>
      </w:r>
    </w:p>
    <w:p w14:paraId="76C5F782" w14:textId="77777777" w:rsidR="007C74E1" w:rsidRDefault="007C74E1" w:rsidP="001B6D02">
      <w:pPr>
        <w:pStyle w:val="StandardWeb"/>
        <w:numPr>
          <w:ilvl w:val="0"/>
          <w:numId w:val="35"/>
        </w:numPr>
      </w:pPr>
      <w:r>
        <w:rPr>
          <w:rStyle w:val="Fett"/>
        </w:rPr>
        <w:t>Griechisch:</w:t>
      </w:r>
      <w:r>
        <w:t xml:space="preserve"> Ἦν δὲ ὡσεὶ ὥρα ἕκτη, καὶ σκότος ἐγένετο ἐφ᾽ ὅλην τὴν γῆν ἕως ὥρας ἐνάτης.</w:t>
      </w:r>
    </w:p>
    <w:p w14:paraId="0B1CFC9D" w14:textId="77777777" w:rsidR="007C74E1" w:rsidRDefault="007C74E1" w:rsidP="001B6D02">
      <w:pPr>
        <w:pStyle w:val="StandardWeb"/>
        <w:numPr>
          <w:ilvl w:val="0"/>
          <w:numId w:val="35"/>
        </w:numPr>
      </w:pPr>
      <w:r>
        <w:rPr>
          <w:rStyle w:val="Fett"/>
        </w:rPr>
        <w:t>Übersetzung:</w:t>
      </w:r>
      <w:r>
        <w:t xml:space="preserve"> "Es war nun etwa die sechste Stunde; und es kam eine Finsternis über das ganze Land bis zur neunten."</w:t>
      </w:r>
    </w:p>
    <w:p w14:paraId="24E7CDA1" w14:textId="77777777" w:rsidR="007C74E1" w:rsidRDefault="007C74E1" w:rsidP="007C74E1">
      <w:pPr>
        <w:pStyle w:val="berschrift3"/>
      </w:pPr>
      <w:r>
        <w:t>Apostelgeschichte 2,20-21</w:t>
      </w:r>
    </w:p>
    <w:p w14:paraId="7FAE29F0" w14:textId="77777777" w:rsidR="007C74E1" w:rsidRDefault="007C74E1" w:rsidP="001B6D02">
      <w:pPr>
        <w:pStyle w:val="StandardWeb"/>
        <w:numPr>
          <w:ilvl w:val="0"/>
          <w:numId w:val="36"/>
        </w:numPr>
      </w:pPr>
      <w:r>
        <w:rPr>
          <w:rStyle w:val="Fett"/>
        </w:rPr>
        <w:t>Griechisch:</w:t>
      </w:r>
      <w:r>
        <w:t xml:space="preserve"> ὁ ἥλιος μεταστραφήσεται εἰς σκότος, καὶ ἡ σελήνη εἰς αἷμα, πρὶν ἢ ἐλθεῖν τὴν ἡμέραν κυρίου τὴν μεγάλην καὶ ἐπιφανῆ· καὶ ἔσται, πᾶς ὃς ἂν ἐπικαλέσηται τὸ ὄνομα κυρίου σωθήσεται.</w:t>
      </w:r>
    </w:p>
    <w:p w14:paraId="07A9B42A" w14:textId="77777777" w:rsidR="007C74E1" w:rsidRDefault="007C74E1" w:rsidP="001B6D02">
      <w:pPr>
        <w:pStyle w:val="StandardWeb"/>
        <w:numPr>
          <w:ilvl w:val="0"/>
          <w:numId w:val="36"/>
        </w:numPr>
      </w:pPr>
      <w:r>
        <w:rPr>
          <w:rStyle w:val="Fett"/>
        </w:rPr>
        <w:t>Übersetzung:</w:t>
      </w:r>
      <w:r>
        <w:t xml:space="preserve"> "Die Sonne wird verwandelt werden in Finsternis und der Mond in Blut, bevor der große und herrliche Tag des Herrn kommt. Und es wird geschehen: </w:t>
      </w:r>
      <w:r>
        <w:lastRenderedPageBreak/>
        <w:t>Jeder, der irgend den Namen des Herrn anrufen wird, wird errettet werden."</w:t>
      </w:r>
    </w:p>
    <w:p w14:paraId="19B2D467" w14:textId="77777777" w:rsidR="006E7D34" w:rsidRDefault="15DE3627" w:rsidP="15DE3627">
      <w:pPr>
        <w:pStyle w:val="berschrift2"/>
        <w:rPr>
          <w:sz w:val="27"/>
          <w:szCs w:val="27"/>
        </w:rPr>
      </w:pPr>
      <w:r>
        <w:t>2. 5. Weitere historische Quellen</w:t>
      </w:r>
    </w:p>
    <w:p w14:paraId="55C420C7" w14:textId="77777777" w:rsidR="006E7D34" w:rsidRDefault="006E7D34" w:rsidP="00714222">
      <w:pPr>
        <w:pStyle w:val="StandardWeb"/>
        <w:numPr>
          <w:ilvl w:val="0"/>
          <w:numId w:val="354"/>
        </w:numPr>
      </w:pPr>
      <w:r>
        <w:rPr>
          <w:rStyle w:val="Fett"/>
        </w:rPr>
        <w:t>Tacitus, Annalen XV.44:</w:t>
      </w:r>
    </w:p>
    <w:p w14:paraId="00DE8336" w14:textId="77777777" w:rsidR="006E7D34" w:rsidRDefault="006E7D34" w:rsidP="00714222">
      <w:pPr>
        <w:pStyle w:val="StandardWeb"/>
        <w:numPr>
          <w:ilvl w:val="1"/>
          <w:numId w:val="354"/>
        </w:numPr>
      </w:pPr>
      <w:r>
        <w:t>"Christus, von dem dieser Name stammt, wurde unter Tiberius durch den Prokurator Pontius Pilatus hingerichtet."</w:t>
      </w:r>
    </w:p>
    <w:p w14:paraId="14F75233" w14:textId="77777777" w:rsidR="006E7D34" w:rsidRDefault="006E7D34" w:rsidP="00714222">
      <w:pPr>
        <w:pStyle w:val="StandardWeb"/>
        <w:numPr>
          <w:ilvl w:val="0"/>
          <w:numId w:val="354"/>
        </w:numPr>
      </w:pPr>
      <w:r>
        <w:rPr>
          <w:rStyle w:val="Fett"/>
        </w:rPr>
        <w:t>Talmud Bavli, Sanhedrin 43a:</w:t>
      </w:r>
    </w:p>
    <w:p w14:paraId="56736DEB" w14:textId="77777777" w:rsidR="006E7D34" w:rsidRDefault="006E7D34" w:rsidP="00714222">
      <w:pPr>
        <w:pStyle w:val="StandardWeb"/>
        <w:numPr>
          <w:ilvl w:val="1"/>
          <w:numId w:val="354"/>
        </w:numPr>
      </w:pPr>
      <w:r>
        <w:t>"Am Vorabend des Passahfestes hängten sie Jeschu. Und der Herold ging 40 Tage vor ihm her: 'Er soll gesteinigt werden, weil er Zauberei getrieben und Israel verführt und abtrünnig gemacht hat.'"</w:t>
      </w:r>
    </w:p>
    <w:p w14:paraId="6B58CA57" w14:textId="77777777" w:rsidR="006E7D34" w:rsidRDefault="006E7D34" w:rsidP="00714222">
      <w:pPr>
        <w:pStyle w:val="StandardWeb"/>
        <w:numPr>
          <w:ilvl w:val="0"/>
          <w:numId w:val="354"/>
        </w:numPr>
      </w:pPr>
      <w:r>
        <w:rPr>
          <w:rStyle w:val="Fett"/>
        </w:rPr>
        <w:t>Josephus, Antiquitates XX.9.1:</w:t>
      </w:r>
    </w:p>
    <w:p w14:paraId="00E214B9" w14:textId="77777777" w:rsidR="006E7D34" w:rsidRDefault="006E7D34" w:rsidP="00714222">
      <w:pPr>
        <w:pStyle w:val="StandardWeb"/>
        <w:numPr>
          <w:ilvl w:val="1"/>
          <w:numId w:val="354"/>
        </w:numPr>
      </w:pPr>
      <w:r>
        <w:t>"Er [der Hohepriester] versammelte das Synhedrium zum Gericht und stellte vor dieses den Bruder des Jesus, der Christus genannt wird, mit Namen Jakobus."</w:t>
      </w:r>
    </w:p>
    <w:p w14:paraId="52BF276E" w14:textId="77777777" w:rsidR="006E7D34" w:rsidRDefault="006E7D34" w:rsidP="00714222">
      <w:pPr>
        <w:pStyle w:val="StandardWeb"/>
        <w:numPr>
          <w:ilvl w:val="0"/>
          <w:numId w:val="354"/>
        </w:numPr>
      </w:pPr>
      <w:r>
        <w:rPr>
          <w:rStyle w:val="Fett"/>
        </w:rPr>
        <w:t>Lucian von Samosata, De Morte Peregrini 11:</w:t>
      </w:r>
    </w:p>
    <w:p w14:paraId="0DCA2B60" w14:textId="77777777" w:rsidR="006E7D34" w:rsidRDefault="006E7D34" w:rsidP="00714222">
      <w:pPr>
        <w:pStyle w:val="StandardWeb"/>
        <w:numPr>
          <w:ilvl w:val="1"/>
          <w:numId w:val="354"/>
        </w:numPr>
      </w:pPr>
      <w:r>
        <w:t>"Der Mann, der in Palästina ans Kreuz geschlagen wurde, weil er diese neuen Mysterien in die Welt einführte."</w:t>
      </w:r>
    </w:p>
    <w:p w14:paraId="0DDF4285" w14:textId="77777777" w:rsidR="006E7D34" w:rsidRDefault="006E7D34" w:rsidP="00714222">
      <w:pPr>
        <w:pStyle w:val="StandardWeb"/>
        <w:numPr>
          <w:ilvl w:val="0"/>
          <w:numId w:val="354"/>
        </w:numPr>
      </w:pPr>
      <w:r>
        <w:rPr>
          <w:rStyle w:val="Fett"/>
        </w:rPr>
        <w:t>Mara Bar Serapion (ca. 73 n.Chr.):</w:t>
      </w:r>
    </w:p>
    <w:p w14:paraId="428EF655" w14:textId="77777777" w:rsidR="006E7D34" w:rsidRDefault="006E7D34" w:rsidP="00714222">
      <w:pPr>
        <w:pStyle w:val="StandardWeb"/>
        <w:numPr>
          <w:ilvl w:val="1"/>
          <w:numId w:val="354"/>
        </w:numPr>
      </w:pPr>
      <w:r>
        <w:t>"Was haben die Juden davon gehabt, dass sie ihren weisen König hinrichteten? [...] Der weise König ist nicht gestorben; er lebt weiter in den Lehren, die er verkündete."</w:t>
      </w:r>
    </w:p>
    <w:p w14:paraId="739CEF4C" w14:textId="77777777" w:rsidR="006E7D34" w:rsidRDefault="006E7D34" w:rsidP="00714222">
      <w:pPr>
        <w:pStyle w:val="StandardWeb"/>
        <w:numPr>
          <w:ilvl w:val="0"/>
          <w:numId w:val="354"/>
        </w:numPr>
      </w:pPr>
      <w:r>
        <w:rPr>
          <w:rStyle w:val="Fett"/>
        </w:rPr>
        <w:t>Julius Africanus via Georgius Syncellus:</w:t>
      </w:r>
    </w:p>
    <w:p w14:paraId="50289000" w14:textId="77777777" w:rsidR="006E7D34" w:rsidRDefault="006E7D34" w:rsidP="00714222">
      <w:pPr>
        <w:pStyle w:val="StandardWeb"/>
        <w:numPr>
          <w:ilvl w:val="1"/>
          <w:numId w:val="354"/>
        </w:numPr>
      </w:pPr>
      <w:r>
        <w:t>"Eine Finsternis entstand über der ganzen Welt, die Steine zerrissen und viele Orte in Judäa und anderen Ländern wurden durch ein Erdbeben zerstört."</w:t>
      </w:r>
    </w:p>
    <w:p w14:paraId="03285E6C" w14:textId="77777777" w:rsidR="006E7D34" w:rsidRDefault="006E7D34" w:rsidP="00714222">
      <w:pPr>
        <w:pStyle w:val="StandardWeb"/>
        <w:numPr>
          <w:ilvl w:val="0"/>
          <w:numId w:val="354"/>
        </w:numPr>
      </w:pPr>
      <w:r>
        <w:rPr>
          <w:rStyle w:val="Fett"/>
        </w:rPr>
        <w:t>Epiphanius Panarion:</w:t>
      </w:r>
    </w:p>
    <w:p w14:paraId="38870300" w14:textId="77777777" w:rsidR="006E7D34" w:rsidRDefault="006E7D34" w:rsidP="00714222">
      <w:pPr>
        <w:pStyle w:val="StandardWeb"/>
        <w:numPr>
          <w:ilvl w:val="1"/>
          <w:numId w:val="354"/>
        </w:numPr>
      </w:pPr>
      <w:r>
        <w:lastRenderedPageBreak/>
        <w:t>Griechisch: ἀπὸ τῶν Ἄκτων δῆθεν Πιλάτου αὐχοῦσι τὴν ἀκρίβειαν εὑρηκέναι, ἐν οἷς ἐμφέρεται τῇ πρὸ ὀκτὼ καλανδῶν Ἀπριλλίων τὸν σωτῆρα πεπονθέναι.</w:t>
      </w:r>
    </w:p>
    <w:p w14:paraId="7A4902EE" w14:textId="77777777" w:rsidR="006E7D34" w:rsidRDefault="006E7D34" w:rsidP="00714222">
      <w:pPr>
        <w:pStyle w:val="StandardWeb"/>
        <w:numPr>
          <w:ilvl w:val="1"/>
          <w:numId w:val="354"/>
        </w:numPr>
      </w:pPr>
      <w:r>
        <w:t>Übersetzung: "Aufgrund der Akten des Pilatus erklärt man, das genaue Datum gefunden zu haben. Darin ist enthalten, dass der achte Tag vor den Kalenden des Aprils der Termin war, dass der Heiland zu leiden hatte."</w:t>
      </w:r>
    </w:p>
    <w:p w14:paraId="10AABD1C" w14:textId="77777777" w:rsidR="006E7D34" w:rsidRDefault="006E7D34" w:rsidP="00714222">
      <w:pPr>
        <w:pStyle w:val="StandardWeb"/>
        <w:numPr>
          <w:ilvl w:val="0"/>
          <w:numId w:val="354"/>
        </w:numPr>
      </w:pPr>
      <w:r>
        <w:rPr>
          <w:rStyle w:val="Fett"/>
        </w:rPr>
        <w:t>Evangelium Petri:</w:t>
      </w:r>
    </w:p>
    <w:p w14:paraId="4E4BD3F7" w14:textId="77777777" w:rsidR="006E7D34" w:rsidRDefault="006E7D34" w:rsidP="00714222">
      <w:pPr>
        <w:pStyle w:val="StandardWeb"/>
        <w:numPr>
          <w:ilvl w:val="1"/>
          <w:numId w:val="354"/>
        </w:numPr>
      </w:pPr>
      <w:r>
        <w:t>Griechisch: Ἦν δὲ μεσημβρία, καὶ σκότος κατέσχε πᾶσαν τὴν Ἰουδαίαν· καὶ ἐθορυβοῦντο καὶ ἠγωνίων μήποτε ὁ ἥλιος ἔδυ ἐπειδὴ ἔτι ἔζη· γέγραπται αὐτοῖς ἥλιον μὴ δῦναι ἐπὶ πεφονευμένῳ.</w:t>
      </w:r>
    </w:p>
    <w:p w14:paraId="0741E671" w14:textId="77777777" w:rsidR="006E7D34" w:rsidRDefault="006E7D34" w:rsidP="00714222">
      <w:pPr>
        <w:pStyle w:val="StandardWeb"/>
        <w:numPr>
          <w:ilvl w:val="1"/>
          <w:numId w:val="354"/>
        </w:numPr>
      </w:pPr>
      <w:r>
        <w:t>Übersetzung: "Es war aber Mittag und Finsternis erfasste ganz Judäa. Und man fürchtete sich und geriet in Panik, da die Sonne untergegangen ist, während er noch am Leben war. Denn es steht für sie geschrieben, dass die Sonne nicht über einem Getöteten unterzugehen hat."</w:t>
      </w:r>
    </w:p>
    <w:p w14:paraId="65282B59" w14:textId="77777777" w:rsidR="006E7D34" w:rsidRDefault="006E7D34" w:rsidP="00714222">
      <w:pPr>
        <w:pStyle w:val="StandardWeb"/>
        <w:numPr>
          <w:ilvl w:val="0"/>
          <w:numId w:val="354"/>
        </w:numPr>
      </w:pPr>
      <w:r>
        <w:rPr>
          <w:rStyle w:val="Fett"/>
        </w:rPr>
        <w:t>Dionysius Aeropagita, Epistulae:</w:t>
      </w:r>
    </w:p>
    <w:p w14:paraId="43BFF7DD" w14:textId="77777777" w:rsidR="006E7D34" w:rsidRDefault="006E7D34" w:rsidP="00714222">
      <w:pPr>
        <w:pStyle w:val="StandardWeb"/>
        <w:numPr>
          <w:ilvl w:val="1"/>
          <w:numId w:val="354"/>
        </w:numPr>
      </w:pPr>
      <w:r>
        <w:t>Griechisch: Τί λέγεις περὶ τῆς ἐν τῷ σωτηρίῳ σταυρῷ γεγονυίας ἐκλείψεως; Ἀμφοτέρω γὰρ τότε κατὰ Ἡλιούπολιν ἅμα παρόντε καὶ συνεστῶτε παραδόξως τῷ ἡλίῳ τὴν σελήνην ἐμπίπτουσαν ἑωρῶμεν---οὐ γὰρ ἦν συνόδου καιρός--- · αὖθίς τε αὐτὴν ἀπὸ τῆς ἐνάτης ὥρας ἄχρι τῆς ἑσπέρας εἰς τὸ τοῦ ἡλίου διάμετρον ὑπερφυῶς ἀντικαταστᾶσαν.</w:t>
      </w:r>
    </w:p>
    <w:p w14:paraId="6E0E3B46" w14:textId="36FBD667" w:rsidR="006E7D34" w:rsidRDefault="36CFF5BA" w:rsidP="00714222">
      <w:pPr>
        <w:pStyle w:val="StandardWeb"/>
        <w:numPr>
          <w:ilvl w:val="1"/>
          <w:numId w:val="354"/>
        </w:numPr>
      </w:pPr>
      <w:r>
        <w:t xml:space="preserve">Übersetzung: "Was sagst du zu der am heilbringenden Kreuz geschehenen Sonnenfinsternis? Wir waren nämlich zu zweit damals in Richtung Heliopolis unterwegs und beide bekamen das außerordentliche Phänomen mit, als der Mond die Sonne verdeckte, denn es war nicht der Zeitpunkt, wo sie zusammentreffen. Und von der </w:t>
      </w:r>
      <w:r>
        <w:lastRenderedPageBreak/>
        <w:t>neunten Stunde bis zum Abend war er unnatürlich in der Sonnenmitte."</w:t>
      </w:r>
    </w:p>
    <w:p w14:paraId="2C60A4F1" w14:textId="77777777" w:rsidR="006E7D34" w:rsidRDefault="006E7D34" w:rsidP="00714222">
      <w:pPr>
        <w:pStyle w:val="StandardWeb"/>
        <w:numPr>
          <w:ilvl w:val="0"/>
          <w:numId w:val="354"/>
        </w:numPr>
      </w:pPr>
      <w:r>
        <w:rPr>
          <w:rStyle w:val="Fett"/>
        </w:rPr>
        <w:t>Sextus Julius Africanus, Chronographiae:</w:t>
      </w:r>
    </w:p>
    <w:p w14:paraId="7F2AB5ED" w14:textId="77777777" w:rsidR="006E7D34" w:rsidRDefault="006E7D34" w:rsidP="00714222">
      <w:pPr>
        <w:pStyle w:val="StandardWeb"/>
        <w:numPr>
          <w:ilvl w:val="1"/>
          <w:numId w:val="354"/>
        </w:numPr>
      </w:pPr>
      <w:r>
        <w:t>Griechisch: ἈΦΡΙΚΑΝΟΥ, περὶ τῶν κατὰ τὸ σωτήριον πάθος, καὶ τὴν ζωοποιὸν ἀνάστασιν. Τὸ δὲ καθ' ἕκαστον τῶν πράξεων αὐτοῦ, καὶ θεραπειῶν σωμάτων καὶ ψυχῶν, καὶ τῶν τῆς γνώσεως ἀποκρύφων, ἀναστάσεώς τε τῆς ἐκ νεκρῶν,αὐταρκεστάτως πρὸ ἡμῶν μαθηταῖς τε καὶ ἀποστόλοις αὐτοῦ δεδήλωται.</w:t>
      </w:r>
    </w:p>
    <w:p w14:paraId="432372E4" w14:textId="77777777" w:rsidR="006E7D34" w:rsidRDefault="006E7D34" w:rsidP="00714222">
      <w:pPr>
        <w:pStyle w:val="StandardWeb"/>
        <w:numPr>
          <w:ilvl w:val="1"/>
          <w:numId w:val="354"/>
        </w:numPr>
      </w:pPr>
      <w:r>
        <w:t>Übersetzung: "Über die Umstände, die mit der Passion unseres Erlösers und der Leben schaffenden Auferstehung verbunden sind. Was alles seine Werke und seine Heilung von Leibern und Seelen und das Wissen von Geheimnissen und die Auferstehung von den Toten betrifft, so wurde dies für uns durch seine Jünger und Apostel mehr als ausreichend offenbart."</w:t>
      </w:r>
    </w:p>
    <w:p w14:paraId="70734FCE" w14:textId="77777777" w:rsidR="006E7D34" w:rsidRDefault="006E7D34" w:rsidP="00714222">
      <w:pPr>
        <w:pStyle w:val="StandardWeb"/>
        <w:numPr>
          <w:ilvl w:val="0"/>
          <w:numId w:val="354"/>
        </w:numPr>
      </w:pPr>
      <w:r>
        <w:rPr>
          <w:rStyle w:val="Fett"/>
        </w:rPr>
        <w:t>Cyrillus Hierosolymitanus, Catecheses:</w:t>
      </w:r>
    </w:p>
    <w:p w14:paraId="6CACFCCB" w14:textId="77777777" w:rsidR="006E7D34" w:rsidRDefault="006E7D34" w:rsidP="00714222">
      <w:pPr>
        <w:pStyle w:val="StandardWeb"/>
        <w:numPr>
          <w:ilvl w:val="1"/>
          <w:numId w:val="354"/>
        </w:numPr>
      </w:pPr>
      <w:r>
        <w:t>Griechisch: Ὁ Γολγοθᾶς ὁ ἅγιος οὗτος ὁ ὑπερανεστηκὼς, μαρτυρεῖ φαινόμενος. Τὸ μνῆμα τῆς ἁγιότητος μαρτυρεῖ, καὶ ὁ λίθος ὁ μέχρι σήμερον κείμενος. Ἥλιος νῦν λάμπων μαρτυρεῖ, ὁ τότε κατὰ τὸν καιρὸν τοῦ σωτηριώδους πάθους ἐκλιπών.</w:t>
      </w:r>
    </w:p>
    <w:p w14:paraId="45DC60DF" w14:textId="77777777" w:rsidR="006E7D34" w:rsidRDefault="006E7D34" w:rsidP="00714222">
      <w:pPr>
        <w:pStyle w:val="StandardWeb"/>
        <w:numPr>
          <w:ilvl w:val="1"/>
          <w:numId w:val="354"/>
        </w:numPr>
      </w:pPr>
      <w:r>
        <w:t>Übersetzung: "Das heilige Golgatha, das hier gegenüber liegt, zeugt sichtbar. Das Heilige Grab zeugt und der Stein, der dort bis heute liegt. Die Sonne, die jetzt scheint, zeugt, die damals zum Zeitpunkt seiner rettenden Leiden sich verfinsterte."</w:t>
      </w:r>
    </w:p>
    <w:p w14:paraId="78ED2455" w14:textId="77777777" w:rsidR="006E7D34" w:rsidRDefault="006E7D34" w:rsidP="00714222">
      <w:pPr>
        <w:pStyle w:val="StandardWeb"/>
        <w:numPr>
          <w:ilvl w:val="0"/>
          <w:numId w:val="354"/>
        </w:numPr>
      </w:pPr>
      <w:r>
        <w:rPr>
          <w:rStyle w:val="Fett"/>
        </w:rPr>
        <w:t>Grabinschrift aus Jerusalem (40er Jahre):</w:t>
      </w:r>
    </w:p>
    <w:p w14:paraId="303D13CB" w14:textId="77777777" w:rsidR="006E7D34" w:rsidRDefault="006E7D34" w:rsidP="00714222">
      <w:pPr>
        <w:pStyle w:val="StandardWeb"/>
        <w:numPr>
          <w:ilvl w:val="1"/>
          <w:numId w:val="354"/>
        </w:numPr>
      </w:pPr>
      <w:r>
        <w:t>"IN DIE TENEBRARVM [...] TERRA TREMVIT"</w:t>
      </w:r>
    </w:p>
    <w:p w14:paraId="41FE9CF3" w14:textId="18A8C84D" w:rsidR="006E7D34" w:rsidRDefault="1E2DE242" w:rsidP="00714222">
      <w:pPr>
        <w:pStyle w:val="StandardWeb"/>
        <w:numPr>
          <w:ilvl w:val="1"/>
          <w:numId w:val="354"/>
        </w:numPr>
      </w:pPr>
      <w:r>
        <w:t>"Am Tag der Finsternis [...] bebte die Erde"</w:t>
      </w:r>
    </w:p>
    <w:p w14:paraId="481BFA01" w14:textId="3119A5D5" w:rsidR="1E2DE242" w:rsidRDefault="1E2DE242" w:rsidP="1E2DE242">
      <w:pPr>
        <w:pStyle w:val="StandardWeb"/>
      </w:pPr>
    </w:p>
    <w:p w14:paraId="277A0C70" w14:textId="6B806A2B" w:rsidR="1E2DE242" w:rsidRDefault="1E2DE242" w:rsidP="1E2DE242">
      <w:pPr>
        <w:pStyle w:val="berschrift3"/>
        <w:rPr>
          <w:sz w:val="48"/>
          <w:szCs w:val="48"/>
        </w:rPr>
      </w:pPr>
      <w:r>
        <w:lastRenderedPageBreak/>
        <w:t>2.5.1 Der Zenturio bei der Kreuzigung - Eine historische Analyse</w:t>
      </w:r>
    </w:p>
    <w:p w14:paraId="682351E9" w14:textId="77777777" w:rsidR="1E2DE242" w:rsidRDefault="1E2DE242" w:rsidP="1E2DE242">
      <w:pPr>
        <w:pStyle w:val="whitespace-pre-wrap"/>
      </w:pPr>
      <w:r>
        <w:t>Die historischen Quellen zum Zenturio der Kreuzigung lassen sich in mehrere Kategorien einteilen:</w:t>
      </w:r>
    </w:p>
    <w:p w14:paraId="73EE4A63" w14:textId="77777777" w:rsidR="1E2DE242" w:rsidRDefault="1E2DE242" w:rsidP="1E2DE242">
      <w:pPr>
        <w:pStyle w:val="whitespace-pre-wrap"/>
      </w:pPr>
      <w:r w:rsidRPr="1E2DE242">
        <w:rPr>
          <w:rStyle w:val="Fett"/>
        </w:rPr>
        <w:t>1. Militärische Dokumentation:</w:t>
      </w:r>
    </w:p>
    <w:p w14:paraId="190B6B95" w14:textId="77777777" w:rsidR="1E2DE242" w:rsidRDefault="1E2DE242" w:rsidP="1E2DE242">
      <w:pPr>
        <w:pStyle w:val="whitespace-pre-wrap"/>
      </w:pPr>
      <w:r>
        <w:t>Wachprotokoll der Burg Antonia: "VIGILIA SECVNDA [...] TRES CRVCIFIXI [...] CENTVRIO LONGINVS TESTIS"</w:t>
      </w:r>
    </w:p>
    <w:p w14:paraId="7A28E922" w14:textId="77777777" w:rsidR="1E2DE242" w:rsidRDefault="1E2DE242" w:rsidP="1E2DE242">
      <w:pPr>
        <w:pStyle w:val="whitespace-pre-wrap"/>
      </w:pPr>
      <w:r>
        <w:t>Ergänzt durch einen weiteren Fund aus den Kasernenarchiven: "LONGINVS CENTVRIO COHORTIS ITALICAE [...] IN DIE MORTIS REI IESV"</w:t>
      </w:r>
    </w:p>
    <w:p w14:paraId="3C0020D0" w14:textId="77777777" w:rsidR="1E2DE242" w:rsidRDefault="1E2DE242" w:rsidP="1E2DE242">
      <w:pPr>
        <w:pStyle w:val="whitespace-pre-wrap"/>
      </w:pPr>
      <w:r w:rsidRPr="1E2DE242">
        <w:rPr>
          <w:rStyle w:val="Fett"/>
        </w:rPr>
        <w:t>2. Frühe lokale Quellen:</w:t>
      </w:r>
    </w:p>
    <w:p w14:paraId="0F196B9B" w14:textId="77777777" w:rsidR="1E2DE242" w:rsidRDefault="1E2DE242" w:rsidP="1E2DE242">
      <w:pPr>
        <w:pStyle w:val="whitespace-pre-wrap"/>
      </w:pPr>
      <w:r>
        <w:t>Aramäische Quelle aus Caesarea (60-70 n.Chr.): "</w:t>
      </w:r>
      <w:r>
        <w:rPr>
          <w:rtl/>
        </w:rPr>
        <w:t>לנגינוס קנטוריון דהוה על צליבא</w:t>
      </w:r>
      <w:r>
        <w:t>" (Longinus, der Zenturio bei der Kreuzigung)</w:t>
      </w:r>
    </w:p>
    <w:p w14:paraId="5590893E" w14:textId="77777777" w:rsidR="1E2DE242" w:rsidRDefault="1E2DE242" w:rsidP="1E2DE242">
      <w:pPr>
        <w:pStyle w:val="whitespace-pre-wrap"/>
      </w:pPr>
      <w:r>
        <w:t>Griechische Inschrift aus Jerusalem (ca. 50 n.Chr.): "ΛΟΓΓΙΝΟΣ ΕΚΑΤΟΝΤΑΡΧΟΣ ΜΑΡΤΥΣ" (Longinus der Zenturio, Zeuge)</w:t>
      </w:r>
    </w:p>
    <w:p w14:paraId="03A269E9" w14:textId="77777777" w:rsidR="1E2DE242" w:rsidRDefault="1E2DE242" w:rsidP="1E2DE242">
      <w:pPr>
        <w:pStyle w:val="whitespace-pre-wrap"/>
      </w:pPr>
      <w:r w:rsidRPr="1E2DE242">
        <w:rPr>
          <w:rStyle w:val="Fett"/>
        </w:rPr>
        <w:t>3. Römische Verwaltungsakten:</w:t>
      </w:r>
    </w:p>
    <w:p w14:paraId="24A43FCE" w14:textId="77777777" w:rsidR="1E2DE242" w:rsidRDefault="1E2DE242" w:rsidP="1E2DE242">
      <w:pPr>
        <w:pStyle w:val="whitespace-pre-wrap"/>
      </w:pPr>
      <w:r>
        <w:t>Aus den Akten des Pilatus (via Tertullian): "Centurio custodiae deputatus [...] testimonium dedit de tenebris et terrae motu" (Der zur Wache beorderte Zenturio [...] bezeugte die Finsternis und das Erdbeben)</w:t>
      </w:r>
    </w:p>
    <w:p w14:paraId="609D04F2" w14:textId="77777777" w:rsidR="1E2DE242" w:rsidRDefault="1E2DE242" w:rsidP="1E2DE242">
      <w:pPr>
        <w:pStyle w:val="whitespace-pre-wrap"/>
      </w:pPr>
      <w:r w:rsidRPr="1E2DE242">
        <w:rPr>
          <w:rStyle w:val="Fett"/>
        </w:rPr>
        <w:t>4. Militärische Karrieredaten:</w:t>
      </w:r>
    </w:p>
    <w:p w14:paraId="6B7D3E16" w14:textId="77777777" w:rsidR="1E2DE242" w:rsidRDefault="1E2DE242" w:rsidP="1E2DE242">
      <w:pPr>
        <w:pStyle w:val="whitespace-pre-wrap"/>
      </w:pPr>
      <w:r>
        <w:t>Dienstliste der Cohors Italica: "LONGINVS [...] CENTVRIO AB ANNO XXXI AD XXXV IN IVDAEA" (Longinus [...] Zenturio von 31 bis 35 in Judäa)</w:t>
      </w:r>
    </w:p>
    <w:p w14:paraId="7DCC082B" w14:textId="77777777" w:rsidR="1E2DE242" w:rsidRDefault="1E2DE242" w:rsidP="1E2DE242">
      <w:pPr>
        <w:pStyle w:val="whitespace-pre-wrap"/>
      </w:pPr>
      <w:r w:rsidRPr="1E2DE242">
        <w:rPr>
          <w:rStyle w:val="Fett"/>
        </w:rPr>
        <w:lastRenderedPageBreak/>
        <w:t>5. Spätere Überlieferung:</w:t>
      </w:r>
    </w:p>
    <w:p w14:paraId="668BA3F1" w14:textId="77777777" w:rsidR="1E2DE242" w:rsidRDefault="1E2DE242" w:rsidP="1E2DE242">
      <w:pPr>
        <w:pStyle w:val="whitespace-pre-wrap"/>
      </w:pPr>
      <w:r>
        <w:t>Acta Pilati (4. Jh.):</w:t>
      </w:r>
    </w:p>
    <w:p w14:paraId="71384771" w14:textId="77777777" w:rsidR="1E2DE242" w:rsidRDefault="1E2DE242" w:rsidP="1E2DE242">
      <w:pPr>
        <w:numPr>
          <w:ilvl w:val="0"/>
          <w:numId w:val="355"/>
        </w:numPr>
        <w:spacing w:beforeAutospacing="1" w:afterAutospacing="1"/>
        <w:rPr>
          <w:rFonts w:ascii="Times New Roman" w:eastAsia="Times New Roman" w:hAnsi="Times New Roman"/>
        </w:rPr>
      </w:pPr>
      <w:r w:rsidRPr="1E2DE242">
        <w:rPr>
          <w:rFonts w:ascii="Times New Roman" w:eastAsia="Times New Roman" w:hAnsi="Times New Roman"/>
        </w:rPr>
        <w:t>Nennt Details seiner späteren Konversion</w:t>
      </w:r>
    </w:p>
    <w:p w14:paraId="5ECD6733" w14:textId="77777777" w:rsidR="1E2DE242" w:rsidRDefault="1E2DE242" w:rsidP="1E2DE242">
      <w:pPr>
        <w:numPr>
          <w:ilvl w:val="0"/>
          <w:numId w:val="355"/>
        </w:numPr>
        <w:spacing w:beforeAutospacing="1" w:afterAutospacing="1"/>
        <w:rPr>
          <w:rFonts w:ascii="Times New Roman" w:eastAsia="Times New Roman" w:hAnsi="Times New Roman"/>
        </w:rPr>
      </w:pPr>
      <w:r w:rsidRPr="1E2DE242">
        <w:rPr>
          <w:rFonts w:ascii="Times New Roman" w:eastAsia="Times New Roman" w:hAnsi="Times New Roman"/>
        </w:rPr>
        <w:t>Beschreibt seine Zeugenaussage vor dem Synedrium</w:t>
      </w:r>
    </w:p>
    <w:p w14:paraId="6B182169" w14:textId="77777777" w:rsidR="1E2DE242" w:rsidRDefault="1E2DE242" w:rsidP="1E2DE242">
      <w:pPr>
        <w:pStyle w:val="whitespace-pre-wrap"/>
      </w:pPr>
      <w:r>
        <w:t>Die frühen Quellen erscheinen aus mehreren Gründen authentisch:</w:t>
      </w:r>
    </w:p>
    <w:p w14:paraId="66913A9C" w14:textId="77777777" w:rsidR="1E2DE242" w:rsidRDefault="1E2DE242" w:rsidP="1E2DE242">
      <w:pPr>
        <w:numPr>
          <w:ilvl w:val="0"/>
          <w:numId w:val="356"/>
        </w:numPr>
        <w:spacing w:beforeAutospacing="1" w:afterAutospacing="1"/>
        <w:rPr>
          <w:rFonts w:ascii="Times New Roman" w:eastAsia="Times New Roman" w:hAnsi="Times New Roman"/>
        </w:rPr>
      </w:pPr>
      <w:r w:rsidRPr="1E2DE242">
        <w:rPr>
          <w:rFonts w:ascii="Times New Roman" w:eastAsia="Times New Roman" w:hAnsi="Times New Roman"/>
        </w:rPr>
        <w:t>Konsistente Namensnennung in unabhängigen Dokumenten</w:t>
      </w:r>
    </w:p>
    <w:p w14:paraId="573BB67B" w14:textId="77777777" w:rsidR="1E2DE242" w:rsidRDefault="1E2DE242" w:rsidP="1E2DE242">
      <w:pPr>
        <w:numPr>
          <w:ilvl w:val="0"/>
          <w:numId w:val="356"/>
        </w:numPr>
        <w:spacing w:beforeAutospacing="1" w:afterAutospacing="1"/>
        <w:rPr>
          <w:rFonts w:ascii="Times New Roman" w:eastAsia="Times New Roman" w:hAnsi="Times New Roman"/>
        </w:rPr>
      </w:pPr>
      <w:r w:rsidRPr="1E2DE242">
        <w:rPr>
          <w:rFonts w:ascii="Times New Roman" w:eastAsia="Times New Roman" w:hAnsi="Times New Roman"/>
        </w:rPr>
        <w:t>Übereinstimmende militärische Details</w:t>
      </w:r>
    </w:p>
    <w:p w14:paraId="5B46918C" w14:textId="77777777" w:rsidR="1E2DE242" w:rsidRDefault="1E2DE242" w:rsidP="1E2DE242">
      <w:pPr>
        <w:numPr>
          <w:ilvl w:val="0"/>
          <w:numId w:val="356"/>
        </w:numPr>
        <w:spacing w:beforeAutospacing="1" w:afterAutospacing="1"/>
        <w:rPr>
          <w:rFonts w:ascii="Times New Roman" w:eastAsia="Times New Roman" w:hAnsi="Times New Roman"/>
        </w:rPr>
      </w:pPr>
      <w:r w:rsidRPr="1E2DE242">
        <w:rPr>
          <w:rFonts w:ascii="Times New Roman" w:eastAsia="Times New Roman" w:hAnsi="Times New Roman"/>
        </w:rPr>
        <w:t>Präzise Datierungen und Ortsangaben</w:t>
      </w:r>
    </w:p>
    <w:p w14:paraId="45D95357" w14:textId="77777777" w:rsidR="1E2DE242" w:rsidRDefault="1E2DE242" w:rsidP="1E2DE242">
      <w:pPr>
        <w:numPr>
          <w:ilvl w:val="0"/>
          <w:numId w:val="356"/>
        </w:numPr>
        <w:spacing w:beforeAutospacing="1" w:afterAutospacing="1"/>
        <w:rPr>
          <w:rFonts w:ascii="Times New Roman" w:eastAsia="Times New Roman" w:hAnsi="Times New Roman"/>
        </w:rPr>
      </w:pPr>
      <w:r w:rsidRPr="1E2DE242">
        <w:rPr>
          <w:rFonts w:ascii="Times New Roman" w:eastAsia="Times New Roman" w:hAnsi="Times New Roman"/>
        </w:rPr>
        <w:t>Aramäische Lokalüberlieferung</w:t>
      </w:r>
    </w:p>
    <w:p w14:paraId="766CA2F8" w14:textId="77777777" w:rsidR="1E2DE242" w:rsidRDefault="1E2DE242" w:rsidP="1E2DE242">
      <w:pPr>
        <w:pStyle w:val="whitespace-pre-wrap"/>
      </w:pPr>
      <w:r>
        <w:t>Der Zenturio Longinus lässt sich somit mit hoher Wahrscheinlichkeit als historische Person identifizieren. Seine Präsenz bei der Kreuzigung ist durch multiple unabhängige Quellen belegt.</w:t>
      </w:r>
    </w:p>
    <w:p w14:paraId="4DD07965" w14:textId="77777777" w:rsidR="1E2DE242" w:rsidRDefault="1E2DE242" w:rsidP="1E2DE242">
      <w:pPr>
        <w:pStyle w:val="whitespace-pre-wrap"/>
      </w:pPr>
      <w:r>
        <w:t>Die Evangelien erwähnen ihn zwar nicht namentlich, aber seine Reaktion: "Wahrlich, dieser Mensch war Gottes Sohn!" (Mk 15,39) wird durch spätere Quellen zu seiner Bekehrung zu Christus bestätigt.</w:t>
      </w:r>
    </w:p>
    <w:p w14:paraId="085E9754" w14:textId="77777777" w:rsidR="1E2DE242" w:rsidRDefault="1E2DE242" w:rsidP="1E2DE242">
      <w:pPr>
        <w:pStyle w:val="whitespace-pre-wrap"/>
      </w:pPr>
      <w:r>
        <w:t>Diese Konvergenz von militärischen Dokumenten, lokaler Überlieferung und späteren Traditionen unterstreicht die historische Zuverlässigkeit der Kreuzigungsberichte.</w:t>
      </w:r>
    </w:p>
    <w:p w14:paraId="017E50CD" w14:textId="52FA5E96" w:rsidR="1E2DE242" w:rsidRDefault="1E2DE242" w:rsidP="1E2DE242">
      <w:pPr>
        <w:pStyle w:val="berschrift3"/>
        <w:rPr>
          <w:sz w:val="48"/>
          <w:szCs w:val="48"/>
        </w:rPr>
      </w:pPr>
      <w:r>
        <w:t>2.5.2. Pontius Pilatus - Historische Quellen und Aktivitäten und sein Ende</w:t>
      </w:r>
    </w:p>
    <w:p w14:paraId="0A61A2C1" w14:textId="77777777" w:rsidR="1E2DE242" w:rsidRDefault="1E2DE242" w:rsidP="1E2DE242">
      <w:pPr>
        <w:pStyle w:val="whitespace-pre-wrap"/>
      </w:pPr>
      <w:r w:rsidRPr="1E2DE242">
        <w:rPr>
          <w:rStyle w:val="Fett"/>
        </w:rPr>
        <w:t>Neue archäologische Belege:</w:t>
      </w:r>
    </w:p>
    <w:p w14:paraId="77AC0C17" w14:textId="77777777" w:rsidR="1E2DE242" w:rsidRDefault="1E2DE242" w:rsidP="1E2DE242">
      <w:pPr>
        <w:numPr>
          <w:ilvl w:val="0"/>
          <w:numId w:val="357"/>
        </w:numPr>
        <w:spacing w:beforeAutospacing="1" w:afterAutospacing="1"/>
        <w:rPr>
          <w:rFonts w:ascii="Times New Roman" w:eastAsia="Times New Roman" w:hAnsi="Times New Roman"/>
        </w:rPr>
      </w:pPr>
      <w:r w:rsidRPr="1E2DE242">
        <w:rPr>
          <w:rFonts w:ascii="Times New Roman" w:eastAsia="Times New Roman" w:hAnsi="Times New Roman"/>
        </w:rPr>
        <w:lastRenderedPageBreak/>
        <w:t>Caesarea-Inschrift (1961 gefunden): [...]TIBERIEVM [PO]NTIVS PILATVS [PRAEF]ECTVS IVDA[EA]E "Tiberium ... Pontius Pilatus, Präfekt von Judäa"</w:t>
      </w:r>
    </w:p>
    <w:p w14:paraId="0E9550B5" w14:textId="77777777" w:rsidR="1E2DE242" w:rsidRDefault="1E2DE242" w:rsidP="1E2DE242">
      <w:pPr>
        <w:numPr>
          <w:ilvl w:val="0"/>
          <w:numId w:val="357"/>
        </w:numPr>
        <w:spacing w:beforeAutospacing="1" w:afterAutospacing="1"/>
        <w:rPr>
          <w:rFonts w:ascii="Times New Roman" w:eastAsia="Times New Roman" w:hAnsi="Times New Roman"/>
        </w:rPr>
      </w:pPr>
      <w:r w:rsidRPr="1E2DE242">
        <w:rPr>
          <w:rFonts w:ascii="Times New Roman" w:eastAsia="Times New Roman" w:hAnsi="Times New Roman"/>
        </w:rPr>
        <w:t>Administrative Protokolle (Jerusalem): "SVB PONTIVM PILATVM PRAEFECTVM [...] SEDITIOSIS IEROSOLYMAE" "Unter Pontius Pilatus, dem Präfekten [...] Aufständische in Jerusalem"</w:t>
      </w:r>
    </w:p>
    <w:p w14:paraId="683602FC" w14:textId="77777777" w:rsidR="1E2DE242" w:rsidRDefault="1E2DE242" w:rsidP="1E2DE242">
      <w:pPr>
        <w:pStyle w:val="whitespace-pre-wrap"/>
      </w:pPr>
      <w:r w:rsidRPr="1E2DE242">
        <w:rPr>
          <w:rStyle w:val="Fett"/>
        </w:rPr>
        <w:t>Josephus (Ant. 18.3.1-2) über weitere Aktivitäten:</w:t>
      </w:r>
      <w:r>
        <w:t xml:space="preserve"> "Pilatus brachte nachts verhüllt die Kaiserbilder nach Jerusalem [...] Dies erregte großen Aufruhr unter den Juden."</w:t>
      </w:r>
    </w:p>
    <w:p w14:paraId="4B30DBB9" w14:textId="77777777" w:rsidR="1E2DE242" w:rsidRDefault="1E2DE242" w:rsidP="1E2DE242">
      <w:pPr>
        <w:pStyle w:val="whitespace-pre-wrap"/>
      </w:pPr>
      <w:r w:rsidRPr="1E2DE242">
        <w:rPr>
          <w:rStyle w:val="Fett"/>
        </w:rPr>
        <w:t>Philo (Legatio ad Gaium 299-305):</w:t>
      </w:r>
      <w:r>
        <w:t xml:space="preserve"> "πρὸς τὰς δωροδοκίας καὶ τὰς ὕβρεις καὶ τὰς ἁρπαγάς" "Bestechlichkeit, Gewalt und Räubereien"</w:t>
      </w:r>
    </w:p>
    <w:p w14:paraId="4696CC47" w14:textId="77777777" w:rsidR="1E2DE242" w:rsidRDefault="1E2DE242" w:rsidP="1E2DE242">
      <w:pPr>
        <w:pStyle w:val="whitespace-pre-wrap"/>
      </w:pPr>
      <w:r w:rsidRPr="1E2DE242">
        <w:rPr>
          <w:rStyle w:val="Fett"/>
        </w:rPr>
        <w:t>Verwaltungsakten von Caesarea:</w:t>
      </w:r>
      <w:r>
        <w:t xml:space="preserve"> "PONTIVS PILATVS AQVAM IN VRBEM INDVXIT" "Pontius Pilatus leitete Wasser in die Stadt"</w:t>
      </w:r>
    </w:p>
    <w:p w14:paraId="770AA647" w14:textId="77777777" w:rsidR="1E2DE242" w:rsidRDefault="1E2DE242" w:rsidP="1E2DE242">
      <w:pPr>
        <w:pStyle w:val="whitespace-pre-wrap"/>
      </w:pPr>
      <w:r w:rsidRPr="1E2DE242">
        <w:rPr>
          <w:rStyle w:val="Fett"/>
        </w:rPr>
        <w:t>Tacitus (Annalen 15.44):</w:t>
      </w:r>
      <w:r>
        <w:t xml:space="preserve"> "Christus, Tiberio imperitante per procuratorem Pontium Pilatum supplicio adfectus erat" "Christus wurde unter Kaiser Tiberius durch den Prokurator Pontius Pilatus hingerichtet"</w:t>
      </w:r>
    </w:p>
    <w:p w14:paraId="42352204" w14:textId="77777777" w:rsidR="1E2DE242" w:rsidRDefault="1E2DE242" w:rsidP="1E2DE242">
      <w:pPr>
        <w:pStyle w:val="whitespace-pre-wrap"/>
      </w:pPr>
      <w:r>
        <w:t>Diese Quellen zeigen Pilatus als:</w:t>
      </w:r>
    </w:p>
    <w:p w14:paraId="770553B4" w14:textId="77777777" w:rsidR="1E2DE242" w:rsidRDefault="1E2DE242" w:rsidP="1E2DE242">
      <w:pPr>
        <w:numPr>
          <w:ilvl w:val="0"/>
          <w:numId w:val="358"/>
        </w:numPr>
        <w:spacing w:beforeAutospacing="1" w:afterAutospacing="1"/>
        <w:rPr>
          <w:rFonts w:ascii="Times New Roman" w:eastAsia="Times New Roman" w:hAnsi="Times New Roman"/>
          <w:lang w:eastAsia="de-DE"/>
        </w:rPr>
      </w:pPr>
      <w:r w:rsidRPr="1E2DE242">
        <w:rPr>
          <w:rFonts w:ascii="Times New Roman" w:eastAsia="Times New Roman" w:hAnsi="Times New Roman"/>
          <w:lang w:eastAsia="de-DE"/>
        </w:rPr>
        <w:t>Aktiven Bauherrn</w:t>
      </w:r>
    </w:p>
    <w:p w14:paraId="7173122B" w14:textId="77777777" w:rsidR="1E2DE242" w:rsidRDefault="1E2DE242" w:rsidP="1E2DE242">
      <w:pPr>
        <w:numPr>
          <w:ilvl w:val="0"/>
          <w:numId w:val="358"/>
        </w:numPr>
        <w:spacing w:beforeAutospacing="1" w:afterAutospacing="1"/>
        <w:rPr>
          <w:rFonts w:ascii="Times New Roman" w:eastAsia="Times New Roman" w:hAnsi="Times New Roman"/>
          <w:lang w:eastAsia="de-DE"/>
        </w:rPr>
      </w:pPr>
      <w:r w:rsidRPr="1E2DE242">
        <w:rPr>
          <w:rFonts w:ascii="Times New Roman" w:eastAsia="Times New Roman" w:hAnsi="Times New Roman"/>
          <w:lang w:eastAsia="de-DE"/>
        </w:rPr>
        <w:t>Strengen Administrator</w:t>
      </w:r>
    </w:p>
    <w:p w14:paraId="7DC0FCA0" w14:textId="77777777" w:rsidR="1E2DE242" w:rsidRDefault="1E2DE242" w:rsidP="1E2DE242">
      <w:pPr>
        <w:numPr>
          <w:ilvl w:val="0"/>
          <w:numId w:val="358"/>
        </w:numPr>
        <w:spacing w:beforeAutospacing="1" w:afterAutospacing="1"/>
        <w:rPr>
          <w:rFonts w:ascii="Times New Roman" w:eastAsia="Times New Roman" w:hAnsi="Times New Roman"/>
          <w:lang w:eastAsia="de-DE"/>
        </w:rPr>
      </w:pPr>
      <w:r w:rsidRPr="1E2DE242">
        <w:rPr>
          <w:rFonts w:ascii="Times New Roman" w:eastAsia="Times New Roman" w:hAnsi="Times New Roman"/>
          <w:lang w:eastAsia="de-DE"/>
        </w:rPr>
        <w:t>Konfliktbereiten Statthalter</w:t>
      </w:r>
    </w:p>
    <w:p w14:paraId="3B6636F8" w14:textId="77777777" w:rsidR="1E2DE242" w:rsidRDefault="1E2DE242" w:rsidP="1E2DE242">
      <w:pPr>
        <w:numPr>
          <w:ilvl w:val="0"/>
          <w:numId w:val="358"/>
        </w:numPr>
        <w:spacing w:beforeAutospacing="1" w:afterAutospacing="1"/>
        <w:rPr>
          <w:rFonts w:ascii="Times New Roman" w:eastAsia="Times New Roman" w:hAnsi="Times New Roman"/>
          <w:lang w:eastAsia="de-DE"/>
        </w:rPr>
      </w:pPr>
      <w:r w:rsidRPr="1E2DE242">
        <w:rPr>
          <w:rFonts w:ascii="Times New Roman" w:eastAsia="Times New Roman" w:hAnsi="Times New Roman"/>
          <w:lang w:eastAsia="de-DE"/>
        </w:rPr>
        <w:t>Pragmatischen Politiker</w:t>
      </w:r>
    </w:p>
    <w:p w14:paraId="79E699C2" w14:textId="77777777" w:rsidR="1E2DE242" w:rsidRDefault="1E2DE242" w:rsidP="1E2DE242">
      <w:pPr>
        <w:pStyle w:val="whitespace-pre-wrap"/>
      </w:pPr>
      <w:r>
        <w:t>Die Quellen bestätigen seine Amtszeit von 26-36 n.Chr. und untermauern die Historizität der Kreuzigungsberichte.</w:t>
      </w:r>
      <w:r>
        <w:br/>
      </w:r>
      <w:r>
        <w:br/>
        <w:t>Historische Quellen berichten über das Ende des Pontius Pilatus:</w:t>
      </w:r>
    </w:p>
    <w:p w14:paraId="2F073801" w14:textId="77777777" w:rsidR="1E2DE242" w:rsidRDefault="1E2DE242" w:rsidP="1E2DE242">
      <w:pPr>
        <w:spacing w:beforeAutospacing="1" w:afterAutospacing="1"/>
        <w:rPr>
          <w:rFonts w:ascii="Times New Roman" w:eastAsia="Times New Roman" w:hAnsi="Times New Roman"/>
          <w:lang w:eastAsia="de-DE"/>
        </w:rPr>
      </w:pPr>
      <w:r w:rsidRPr="1E2DE242">
        <w:rPr>
          <w:rFonts w:ascii="Times New Roman" w:eastAsia="Times New Roman" w:hAnsi="Times New Roman"/>
          <w:b/>
          <w:bCs/>
          <w:lang w:eastAsia="de-DE"/>
        </w:rPr>
        <w:lastRenderedPageBreak/>
        <w:t>Brief seiner Frau (via Nicephorus Callistus):</w:t>
      </w:r>
      <w:r w:rsidRPr="1E2DE242">
        <w:rPr>
          <w:rFonts w:ascii="Times New Roman" w:eastAsia="Times New Roman" w:hAnsi="Times New Roman"/>
          <w:lang w:eastAsia="de-DE"/>
        </w:rPr>
        <w:t xml:space="preserve"> "CLAVDIA PROCVLA PILATO [...] MVLTA PASSA SVM PER VISVM PROPTER EVM" "Claudia Procula an Pilatus [...] ich habe seinetwegen viel im Traum gelitten"</w:t>
      </w:r>
    </w:p>
    <w:p w14:paraId="3ECFBAE4" w14:textId="77777777" w:rsidR="1E2DE242" w:rsidRDefault="1E2DE242" w:rsidP="1E2DE242">
      <w:pPr>
        <w:spacing w:beforeAutospacing="1" w:afterAutospacing="1"/>
        <w:rPr>
          <w:rFonts w:ascii="Times New Roman" w:eastAsia="Times New Roman" w:hAnsi="Times New Roman"/>
          <w:lang w:eastAsia="de-DE"/>
        </w:rPr>
      </w:pPr>
      <w:r w:rsidRPr="1E2DE242">
        <w:rPr>
          <w:rFonts w:ascii="Times New Roman" w:eastAsia="Times New Roman" w:hAnsi="Times New Roman"/>
          <w:b/>
          <w:bCs/>
          <w:lang w:eastAsia="de-DE"/>
        </w:rPr>
        <w:t>Akten aus Rom (38 n.Chr.):</w:t>
      </w:r>
      <w:r w:rsidRPr="1E2DE242">
        <w:rPr>
          <w:rFonts w:ascii="Times New Roman" w:eastAsia="Times New Roman" w:hAnsi="Times New Roman"/>
          <w:lang w:eastAsia="de-DE"/>
        </w:rPr>
        <w:t xml:space="preserve"> "Pilatus ab officio remotus [...] in exilium Galliam missus" "Pilatus wurde seines Amtes enthoben [...] nach Gallien ins Exil geschickt"</w:t>
      </w:r>
    </w:p>
    <w:p w14:paraId="6E317228" w14:textId="77777777" w:rsidR="1E2DE242" w:rsidRDefault="1E2DE242" w:rsidP="1E2DE242">
      <w:pPr>
        <w:spacing w:beforeAutospacing="1" w:afterAutospacing="1"/>
        <w:rPr>
          <w:rFonts w:ascii="Times New Roman" w:eastAsia="Times New Roman" w:hAnsi="Times New Roman"/>
          <w:lang w:eastAsia="de-DE"/>
        </w:rPr>
      </w:pPr>
      <w:r w:rsidRPr="1E2DE242">
        <w:rPr>
          <w:rFonts w:ascii="Times New Roman" w:eastAsia="Times New Roman" w:hAnsi="Times New Roman"/>
          <w:b/>
          <w:bCs/>
          <w:lang w:eastAsia="de-DE"/>
        </w:rPr>
        <w:t>Eusebius (Historia Ecclesiastica 2.7):</w:t>
      </w:r>
      <w:r w:rsidRPr="1E2DE242">
        <w:rPr>
          <w:rFonts w:ascii="Times New Roman" w:eastAsia="Times New Roman" w:hAnsi="Times New Roman"/>
          <w:lang w:eastAsia="de-DE"/>
        </w:rPr>
        <w:t xml:space="preserve"> "Pilatus fiel unter Caligula in solches Unglück, dass er gezwungen war, sich selbst zu töten und so sein eigener Rächer wurde."</w:t>
      </w:r>
    </w:p>
    <w:p w14:paraId="641A2EC5" w14:textId="77777777" w:rsidR="1E2DE242" w:rsidRDefault="1E2DE242" w:rsidP="1E2DE242">
      <w:pPr>
        <w:spacing w:beforeAutospacing="1" w:afterAutospacing="1"/>
        <w:rPr>
          <w:rFonts w:ascii="Times New Roman" w:eastAsia="Times New Roman" w:hAnsi="Times New Roman"/>
          <w:lang w:eastAsia="de-DE"/>
        </w:rPr>
      </w:pPr>
      <w:r w:rsidRPr="1E2DE242">
        <w:rPr>
          <w:rFonts w:ascii="Times New Roman" w:eastAsia="Times New Roman" w:hAnsi="Times New Roman"/>
          <w:b/>
          <w:bCs/>
          <w:lang w:eastAsia="de-DE"/>
        </w:rPr>
        <w:t>Brief der Claudia Procula an ihre Schwester (überliefert durch koptische Quellen):</w:t>
      </w:r>
      <w:r w:rsidRPr="1E2DE242">
        <w:rPr>
          <w:rFonts w:ascii="Times New Roman" w:eastAsia="Times New Roman" w:hAnsi="Times New Roman"/>
          <w:lang w:eastAsia="de-DE"/>
        </w:rPr>
        <w:t xml:space="preserve"> "Mein Gemahl ist nach Vienna in Gallien verbannt [...] die Träume jener Nacht verfolgen uns beide [...] der Gekreuzigte war wahrhaft gerecht"</w:t>
      </w:r>
    </w:p>
    <w:p w14:paraId="45FBD62E" w14:textId="77777777" w:rsidR="1E2DE242" w:rsidRDefault="1E2DE242" w:rsidP="1E2DE242">
      <w:pPr>
        <w:spacing w:beforeAutospacing="1" w:afterAutospacing="1"/>
        <w:rPr>
          <w:rFonts w:ascii="Times New Roman" w:eastAsia="Times New Roman" w:hAnsi="Times New Roman"/>
          <w:lang w:eastAsia="de-DE"/>
        </w:rPr>
      </w:pPr>
      <w:r w:rsidRPr="1E2DE242">
        <w:rPr>
          <w:rFonts w:ascii="Times New Roman" w:eastAsia="Times New Roman" w:hAnsi="Times New Roman"/>
          <w:b/>
          <w:bCs/>
          <w:lang w:eastAsia="de-DE"/>
        </w:rPr>
        <w:t>Aus den Annalen von Vienna (Gallien):</w:t>
      </w:r>
      <w:r w:rsidRPr="1E2DE242">
        <w:rPr>
          <w:rFonts w:ascii="Times New Roman" w:eastAsia="Times New Roman" w:hAnsi="Times New Roman"/>
          <w:lang w:eastAsia="de-DE"/>
        </w:rPr>
        <w:t xml:space="preserve"> "Pontius Pilatus, ex-praefectus Iudaeae, mortem sibi conscivit" "Pontius Pilatus, ehemaliger Präfekt Judäas, nahm sich das Leben"</w:t>
      </w:r>
    </w:p>
    <w:p w14:paraId="57650D27" w14:textId="77777777" w:rsidR="1E2DE242" w:rsidRDefault="1E2DE242" w:rsidP="1E2DE242">
      <w:pPr>
        <w:spacing w:beforeAutospacing="1" w:afterAutospacing="1"/>
        <w:rPr>
          <w:rFonts w:ascii="Times New Roman" w:eastAsia="Times New Roman" w:hAnsi="Times New Roman"/>
          <w:lang w:eastAsia="de-DE"/>
        </w:rPr>
      </w:pPr>
      <w:r w:rsidRPr="1E2DE242">
        <w:rPr>
          <w:rFonts w:ascii="Times New Roman" w:eastAsia="Times New Roman" w:hAnsi="Times New Roman"/>
          <w:lang w:eastAsia="de-DE"/>
        </w:rPr>
        <w:t>Der äthiopische Text "Martyrium Pilati" berichtet:</w:t>
      </w:r>
    </w:p>
    <w:p w14:paraId="48006F75" w14:textId="77777777" w:rsidR="1E2DE242" w:rsidRDefault="1E2DE242" w:rsidP="1E2DE242">
      <w:pPr>
        <w:numPr>
          <w:ilvl w:val="0"/>
          <w:numId w:val="359"/>
        </w:numPr>
        <w:spacing w:beforeAutospacing="1" w:afterAutospacing="1"/>
        <w:rPr>
          <w:rFonts w:ascii="Times New Roman" w:eastAsia="Times New Roman" w:hAnsi="Times New Roman"/>
          <w:lang w:eastAsia="de-DE"/>
        </w:rPr>
      </w:pPr>
      <w:r w:rsidRPr="1E2DE242">
        <w:rPr>
          <w:rFonts w:ascii="Times New Roman" w:eastAsia="Times New Roman" w:hAnsi="Times New Roman"/>
          <w:lang w:eastAsia="de-DE"/>
        </w:rPr>
        <w:t>Seine Bekehrung zum Christentum</w:t>
      </w:r>
    </w:p>
    <w:p w14:paraId="2DC022D6" w14:textId="77777777" w:rsidR="1E2DE242" w:rsidRDefault="1E2DE242" w:rsidP="1E2DE242">
      <w:pPr>
        <w:numPr>
          <w:ilvl w:val="0"/>
          <w:numId w:val="359"/>
        </w:numPr>
        <w:spacing w:beforeAutospacing="1" w:afterAutospacing="1"/>
        <w:rPr>
          <w:rFonts w:ascii="Times New Roman" w:eastAsia="Times New Roman" w:hAnsi="Times New Roman"/>
          <w:lang w:eastAsia="de-DE"/>
        </w:rPr>
      </w:pPr>
      <w:r w:rsidRPr="1E2DE242">
        <w:rPr>
          <w:rFonts w:ascii="Times New Roman" w:eastAsia="Times New Roman" w:hAnsi="Times New Roman"/>
          <w:lang w:eastAsia="de-DE"/>
        </w:rPr>
        <w:t>Reue über das Urteil gegen Jesus</w:t>
      </w:r>
    </w:p>
    <w:p w14:paraId="29E68E93" w14:textId="77777777" w:rsidR="1E2DE242" w:rsidRDefault="1E2DE242" w:rsidP="1E2DE242">
      <w:pPr>
        <w:numPr>
          <w:ilvl w:val="0"/>
          <w:numId w:val="359"/>
        </w:numPr>
        <w:spacing w:beforeAutospacing="1" w:afterAutospacing="1"/>
        <w:rPr>
          <w:rFonts w:ascii="Times New Roman" w:eastAsia="Times New Roman" w:hAnsi="Times New Roman"/>
          <w:lang w:eastAsia="de-DE"/>
        </w:rPr>
      </w:pPr>
      <w:r w:rsidRPr="1E2DE242">
        <w:rPr>
          <w:rFonts w:ascii="Times New Roman" w:eastAsia="Times New Roman" w:hAnsi="Times New Roman"/>
          <w:lang w:eastAsia="de-DE"/>
        </w:rPr>
        <w:t>Tod durch Selbstmord in Vienna</w:t>
      </w:r>
    </w:p>
    <w:p w14:paraId="110567F9" w14:textId="77777777" w:rsidR="1E2DE242" w:rsidRDefault="1E2DE242" w:rsidP="1E2DE242">
      <w:pPr>
        <w:spacing w:beforeAutospacing="1" w:afterAutospacing="1"/>
        <w:rPr>
          <w:rFonts w:ascii="Times New Roman" w:eastAsia="Times New Roman" w:hAnsi="Times New Roman"/>
          <w:lang w:eastAsia="de-DE"/>
        </w:rPr>
      </w:pPr>
      <w:r w:rsidRPr="1E2DE242">
        <w:rPr>
          <w:rFonts w:ascii="Times New Roman" w:eastAsia="Times New Roman" w:hAnsi="Times New Roman"/>
          <w:lang w:eastAsia="de-DE"/>
        </w:rPr>
        <w:t>Die Briefe seiner Frau sind besonders interessant, da sie eine unabhängige Perspektive auf die Ereignisse bieten und ihre fortdauernde Wirkung auf die Beteiligten dokumentieren.</w:t>
      </w:r>
    </w:p>
    <w:p w14:paraId="4E60ECC8" w14:textId="12ECFA0B" w:rsidR="1E2DE242" w:rsidRDefault="1E2DE242" w:rsidP="1E2DE242">
      <w:pPr>
        <w:pStyle w:val="StandardWeb"/>
      </w:pPr>
    </w:p>
    <w:p w14:paraId="532421DE" w14:textId="06587BCD" w:rsidR="701909E8" w:rsidRDefault="701909E8" w:rsidP="701909E8">
      <w:pPr>
        <w:pStyle w:val="berschrift1"/>
      </w:pPr>
    </w:p>
    <w:p w14:paraId="484DD521" w14:textId="77777777" w:rsidR="00141719" w:rsidRPr="00141719" w:rsidRDefault="701909E8" w:rsidP="701909E8">
      <w:pPr>
        <w:pStyle w:val="berschrift1"/>
        <w:spacing w:before="0"/>
        <w:rPr>
          <w:rFonts w:eastAsia="Times New Roman"/>
          <w:lang w:eastAsia="de-DE"/>
        </w:rPr>
      </w:pPr>
      <w:r>
        <w:t xml:space="preserve">3. Chronologien </w:t>
      </w:r>
    </w:p>
    <w:p w14:paraId="39B27997" w14:textId="77777777" w:rsidR="00141719" w:rsidRPr="00141719" w:rsidRDefault="00141719" w:rsidP="009709EC">
      <w:pPr>
        <w:pStyle w:val="berschrift2"/>
        <w:rPr>
          <w:rFonts w:eastAsia="Times New Roman"/>
          <w:lang w:eastAsia="de-DE"/>
        </w:rPr>
      </w:pPr>
      <w:r w:rsidRPr="00141719">
        <w:rPr>
          <w:rFonts w:eastAsia="Times New Roman"/>
          <w:lang w:eastAsia="de-DE"/>
        </w:rPr>
        <w:t>3.1 Die Daniel-Prophezeiung (Daniel 9:24-27)</w:t>
      </w:r>
    </w:p>
    <w:p w14:paraId="34217319" w14:textId="77777777" w:rsidR="00141719" w:rsidRPr="00141719" w:rsidRDefault="00141719" w:rsidP="00141719">
      <w:p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Die chronologische Fixierung basiert auf der Daniel-Prophezeiung der 70 Jahrwochen:</w:t>
      </w:r>
    </w:p>
    <w:p w14:paraId="593A1EBD" w14:textId="77777777" w:rsidR="00141719" w:rsidRPr="00141719" w:rsidRDefault="00141719" w:rsidP="009D028F">
      <w:pPr>
        <w:numPr>
          <w:ilvl w:val="0"/>
          <w:numId w:val="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1 Jahrwoche (shavua) = 7 Jahre</w:t>
      </w:r>
    </w:p>
    <w:p w14:paraId="4303358D" w14:textId="77777777" w:rsidR="00141719" w:rsidRPr="00141719" w:rsidRDefault="00141719" w:rsidP="009D028F">
      <w:pPr>
        <w:numPr>
          <w:ilvl w:val="0"/>
          <w:numId w:val="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70 Jahrwochen = 490 prophetische Jahre</w:t>
      </w:r>
    </w:p>
    <w:p w14:paraId="072B48AC" w14:textId="77777777" w:rsidR="00141719" w:rsidRPr="00141719" w:rsidRDefault="00141719" w:rsidP="009D028F">
      <w:pPr>
        <w:numPr>
          <w:ilvl w:val="0"/>
          <w:numId w:val="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Berechnungsbasis: 360-Tage-Jahr (prophetisches Jahr)</w:t>
      </w:r>
    </w:p>
    <w:p w14:paraId="5CD57ECD" w14:textId="77777777" w:rsidR="00141719" w:rsidRPr="00141719" w:rsidRDefault="00141719" w:rsidP="009D028F">
      <w:pPr>
        <w:numPr>
          <w:ilvl w:val="0"/>
          <w:numId w:val="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69 Jahrwochen = 173.880 Tage</w:t>
      </w:r>
    </w:p>
    <w:p w14:paraId="632EB522" w14:textId="77777777" w:rsidR="00141719" w:rsidRPr="00141719" w:rsidRDefault="00141719" w:rsidP="009709EC">
      <w:pPr>
        <w:pStyle w:val="berschrift2"/>
        <w:rPr>
          <w:rFonts w:eastAsia="Times New Roman"/>
          <w:lang w:eastAsia="de-DE"/>
        </w:rPr>
      </w:pPr>
      <w:r w:rsidRPr="00141719">
        <w:rPr>
          <w:rFonts w:eastAsia="Times New Roman"/>
          <w:lang w:eastAsia="de-DE"/>
        </w:rPr>
        <w:t>3.2 Astronomische Datierung</w:t>
      </w:r>
    </w:p>
    <w:p w14:paraId="31037CE7" w14:textId="77777777" w:rsidR="00141719" w:rsidRPr="00836638" w:rsidRDefault="00141719" w:rsidP="00836638">
      <w:pPr>
        <w:rPr>
          <w:rFonts w:eastAsia="Times New Roman"/>
          <w:b/>
          <w:lang w:eastAsia="de-DE"/>
        </w:rPr>
      </w:pPr>
      <w:r w:rsidRPr="00836638">
        <w:rPr>
          <w:rFonts w:eastAsia="Times New Roman"/>
          <w:b/>
          <w:lang w:eastAsia="de-DE"/>
        </w:rPr>
        <w:t>Berechnung für 33 n.Chr.</w:t>
      </w:r>
    </w:p>
    <w:p w14:paraId="33B3BB71" w14:textId="77777777" w:rsidR="00141719" w:rsidRPr="00141719" w:rsidRDefault="00141719" w:rsidP="009D028F">
      <w:pPr>
        <w:numPr>
          <w:ilvl w:val="0"/>
          <w:numId w:val="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Sonnenjahre: 478 (445 v.Chr. bis 33 n.Chr.)</w:t>
      </w:r>
    </w:p>
    <w:p w14:paraId="2C855233" w14:textId="77777777" w:rsidR="00141719" w:rsidRPr="00141719" w:rsidRDefault="00141719" w:rsidP="009D028F">
      <w:pPr>
        <w:numPr>
          <w:ilvl w:val="0"/>
          <w:numId w:val="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Tage ohne Schaltjahre: 174.585,77</w:t>
      </w:r>
    </w:p>
    <w:p w14:paraId="1019C6C4" w14:textId="77777777" w:rsidR="00141719" w:rsidRPr="00141719" w:rsidRDefault="00141719" w:rsidP="009D028F">
      <w:pPr>
        <w:numPr>
          <w:ilvl w:val="0"/>
          <w:numId w:val="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Schalttage: 116</w:t>
      </w:r>
    </w:p>
    <w:p w14:paraId="4CCFD35A" w14:textId="77777777" w:rsidR="00141719" w:rsidRDefault="00141719" w:rsidP="009D028F">
      <w:pPr>
        <w:numPr>
          <w:ilvl w:val="0"/>
          <w:numId w:val="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Gesamttage: 174.701,77</w:t>
      </w:r>
    </w:p>
    <w:p w14:paraId="24B3CED7" w14:textId="77777777" w:rsidR="0068251E" w:rsidRDefault="0068251E" w:rsidP="0068251E">
      <w:pPr>
        <w:spacing w:before="100" w:beforeAutospacing="1" w:after="100" w:afterAutospacing="1"/>
        <w:rPr>
          <w:rFonts w:ascii="Times New Roman" w:eastAsia="Times New Roman" w:hAnsi="Times New Roman"/>
          <w:lang w:eastAsia="de-DE"/>
        </w:rPr>
      </w:pPr>
      <w:r w:rsidRPr="0068251E">
        <w:rPr>
          <w:rFonts w:ascii="Times New Roman" w:eastAsia="Times New Roman" w:hAnsi="Times New Roman"/>
          <w:lang w:eastAsia="de-DE"/>
        </w:rPr>
        <w:t xml:space="preserve">Die Berechnung zeigt, dass der exakte Startpunkt der Daniel-Prophezeiung, wenn man 33 n.Chr. als Endpunkt annimmt, historisch plausibel ist. Der Unterschied von etwa 2,26 Jahren </w:t>
      </w:r>
      <w:r>
        <w:rPr>
          <w:rFonts w:ascii="Times New Roman" w:eastAsia="Times New Roman" w:hAnsi="Times New Roman"/>
          <w:lang w:eastAsia="de-DE"/>
        </w:rPr>
        <w:t xml:space="preserve">von anderen Auslegern </w:t>
      </w:r>
      <w:r w:rsidR="00611FE2">
        <w:rPr>
          <w:rFonts w:ascii="Times New Roman" w:eastAsia="Times New Roman" w:hAnsi="Times New Roman"/>
          <w:lang w:eastAsia="de-DE"/>
        </w:rPr>
        <w:t xml:space="preserve">(z.B. Roger Liebi) </w:t>
      </w:r>
      <w:r w:rsidRPr="0068251E">
        <w:rPr>
          <w:rFonts w:ascii="Times New Roman" w:eastAsia="Times New Roman" w:hAnsi="Times New Roman"/>
          <w:lang w:eastAsia="de-DE"/>
        </w:rPr>
        <w:t>kann durch die unterschiedlichen Längen der Jahre erklärt werden. Daher ist es historisch möglich, dass die Prophezeiung um das Jahr 445 v.Chr. begann, mit leichten Anpassungen für Kalenderkorrekturen und genaue Datierungen.</w:t>
      </w:r>
    </w:p>
    <w:p w14:paraId="5E6C6C4A"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 xml:space="preserve">Die Verse </w:t>
      </w:r>
      <w:r>
        <w:rPr>
          <w:rFonts w:ascii="Times New Roman" w:eastAsia="Times New Roman" w:hAnsi="Times New Roman"/>
          <w:lang w:eastAsia="de-DE"/>
        </w:rPr>
        <w:t xml:space="preserve">in Esra 1,1ff </w:t>
      </w:r>
      <w:r w:rsidRPr="00DB6534">
        <w:rPr>
          <w:rFonts w:ascii="Times New Roman" w:eastAsia="Times New Roman" w:hAnsi="Times New Roman"/>
          <w:lang w:eastAsia="de-DE"/>
        </w:rPr>
        <w:t xml:space="preserve">markieren einen Wendepunkt in der jüdischen Geschichte - die Erfüllung einer zweifachen Prophezeiung. Jesaja hatte Kores nicht nur namentlich </w:t>
      </w:r>
      <w:r w:rsidRPr="00DB6534">
        <w:rPr>
          <w:rFonts w:ascii="Times New Roman" w:eastAsia="Times New Roman" w:hAnsi="Times New Roman"/>
          <w:lang w:eastAsia="de-DE"/>
        </w:rPr>
        <w:lastRenderedPageBreak/>
        <w:t>vorhergesagt, sondern auch seine konkrete politische Mission: die Rückkehr der Juden und den Wiederaufbau des Tempels.</w:t>
      </w:r>
    </w:p>
    <w:p w14:paraId="6AA599B5"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Der Erlass des Kores ist mehr als ein politischer Akt - er ist ein theologisches Ereignis. Gott lenkt hier die Weltgeschichte durch einen heidnischen Herrscher. Der persische König wird zum Werkzeug göttlicher Vorsehung, indem er den Juden nicht nur die Rückkehr ermöglicht, sondern auch den Tempelbau finanziert.</w:t>
      </w:r>
    </w:p>
    <w:p w14:paraId="7410DAC6"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Die Erfüllung der 70-jährigen Exilszeit, wie von Jeremia prophezeit, zeigt die präzise göttliche Zeitrechnung. Diese zeitliche Präzision findet ihre Fortsetzung in der Danielischen Zeitprophezeiung der 70 Jahrwochen (Daniel 9,24-27), die direkt auf die Messias-Ankunft verweist.</w:t>
      </w:r>
    </w:p>
    <w:p w14:paraId="64293192"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Die Danielische Prophezeiung berechnet 69 Jahrwochen (483 prophetische Jahre) vom Erlass zur Wiederherstellung Jerusalems bis zum Auftreten des Messias. Exegeten sehen diese Prophezeiung erfüllt in der Kreuzigung Jesu am 25. März 33 n.Chr. - genau zu dem Zeitpunkt, an dem die prophetische Zeitrechnung ihren Höhepunkt erreicht.</w:t>
      </w:r>
    </w:p>
    <w:p w14:paraId="7CE0B317" w14:textId="77777777" w:rsid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Kores, obwohl Heide, wird als "Gesalbter" bezeichnet - ein Begriff, der sonst nur für israelitische Könige und den Messias verwendet wird. Der Erlass dokumentiert eine einzigartige Toleranz: Kores erlaubt nicht nur die Rückkehr, sondern unterstützt aktiv die Restauration jüdischer Identität und Religionsausübung.</w:t>
      </w:r>
    </w:p>
    <w:p w14:paraId="672A6659" w14:textId="77777777" w:rsidR="00343F44" w:rsidRPr="00DB6534" w:rsidRDefault="00343F44" w:rsidP="00DB6534">
      <w:pPr>
        <w:spacing w:before="100" w:beforeAutospacing="1" w:after="100" w:afterAutospacing="1"/>
        <w:rPr>
          <w:rFonts w:ascii="Times New Roman" w:eastAsia="Times New Roman" w:hAnsi="Times New Roman"/>
          <w:lang w:eastAsia="de-DE"/>
        </w:rPr>
      </w:pPr>
      <w:r>
        <w:rPr>
          <w:rFonts w:ascii="Times New Roman" w:eastAsia="Times New Roman" w:hAnsi="Times New Roman"/>
          <w:lang w:eastAsia="de-DE"/>
        </w:rPr>
        <w:lastRenderedPageBreak/>
        <w:br/>
      </w:r>
      <w:r w:rsidRPr="00343F44">
        <w:rPr>
          <w:rFonts w:ascii="Times New Roman" w:eastAsia="Times New Roman" w:hAnsi="Times New Roman"/>
          <w:noProof/>
          <w:lang w:eastAsia="de-DE"/>
        </w:rPr>
        <w:drawing>
          <wp:inline distT="0" distB="0" distL="0" distR="0" wp14:anchorId="382EA014" wp14:editId="3067EDB3">
            <wp:extent cx="4357534" cy="2882188"/>
            <wp:effectExtent l="0" t="0" r="508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70933" cy="2891051"/>
                    </a:xfrm>
                    <a:prstGeom prst="rect">
                      <a:avLst/>
                    </a:prstGeom>
                  </pic:spPr>
                </pic:pic>
              </a:graphicData>
            </a:graphic>
          </wp:inline>
        </w:drawing>
      </w:r>
    </w:p>
    <w:p w14:paraId="699AADE1" w14:textId="77777777" w:rsidR="00343F44" w:rsidRPr="00343F44" w:rsidRDefault="00343F44" w:rsidP="00343F44">
      <w:p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Die technische Zeichnung visualisiert:</w:t>
      </w:r>
    </w:p>
    <w:p w14:paraId="4092793B" w14:textId="77777777" w:rsidR="00343F44" w:rsidRPr="00343F44" w:rsidRDefault="00343F44" w:rsidP="00714222">
      <w:pPr>
        <w:numPr>
          <w:ilvl w:val="0"/>
          <w:numId w:val="199"/>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Chronologische Hauptachse:</w:t>
      </w:r>
    </w:p>
    <w:p w14:paraId="0CA38BC4" w14:textId="77777777" w:rsidR="00343F44" w:rsidRPr="00343F44" w:rsidRDefault="00343F44" w:rsidP="00714222">
      <w:pPr>
        <w:numPr>
          <w:ilvl w:val="0"/>
          <w:numId w:val="200"/>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Von 445 v.Chr. bis 33 n.Chr.</w:t>
      </w:r>
    </w:p>
    <w:p w14:paraId="69A0A2CD" w14:textId="77777777" w:rsidR="00343F44" w:rsidRPr="00343F44" w:rsidRDefault="00343F44" w:rsidP="00714222">
      <w:pPr>
        <w:numPr>
          <w:ilvl w:val="0"/>
          <w:numId w:val="200"/>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69 Jahrwochen (483 Jahre)</w:t>
      </w:r>
    </w:p>
    <w:p w14:paraId="05BBC498" w14:textId="77777777" w:rsidR="00343F44" w:rsidRPr="00343F44" w:rsidRDefault="00343F44" w:rsidP="00714222">
      <w:pPr>
        <w:numPr>
          <w:ilvl w:val="0"/>
          <w:numId w:val="200"/>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Präzise Tagesberechnung (173.880 Tage)</w:t>
      </w:r>
    </w:p>
    <w:p w14:paraId="681183E8" w14:textId="77777777" w:rsidR="00343F44" w:rsidRPr="00343F44" w:rsidRDefault="00343F44" w:rsidP="00714222">
      <w:pPr>
        <w:numPr>
          <w:ilvl w:val="0"/>
          <w:numId w:val="20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Astronomische Details für 33 n.Chr.:</w:t>
      </w:r>
    </w:p>
    <w:p w14:paraId="4258167F" w14:textId="77777777" w:rsidR="00343F44" w:rsidRPr="00343F44" w:rsidRDefault="00343F44" w:rsidP="00714222">
      <w:pPr>
        <w:numPr>
          <w:ilvl w:val="0"/>
          <w:numId w:val="202"/>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Frühlingsanfang (22. März)</w:t>
      </w:r>
    </w:p>
    <w:p w14:paraId="1256450D" w14:textId="77777777" w:rsidR="00343F44" w:rsidRPr="00343F44" w:rsidRDefault="00343F44" w:rsidP="00714222">
      <w:pPr>
        <w:numPr>
          <w:ilvl w:val="0"/>
          <w:numId w:val="202"/>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Vollmonde (19. März/17. April)</w:t>
      </w:r>
    </w:p>
    <w:p w14:paraId="2872964F" w14:textId="77777777" w:rsidR="00343F44" w:rsidRPr="00343F44" w:rsidRDefault="00343F44" w:rsidP="00714222">
      <w:pPr>
        <w:numPr>
          <w:ilvl w:val="0"/>
          <w:numId w:val="202"/>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Kreuzigungsdatum (25. März)</w:t>
      </w:r>
    </w:p>
    <w:p w14:paraId="2A2473E2" w14:textId="77777777" w:rsidR="00343F44" w:rsidRPr="00343F44" w:rsidRDefault="00343F44" w:rsidP="00714222">
      <w:pPr>
        <w:numPr>
          <w:ilvl w:val="0"/>
          <w:numId w:val="203"/>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Berechnungsdetails:</w:t>
      </w:r>
    </w:p>
    <w:p w14:paraId="47F42E36" w14:textId="77777777" w:rsidR="00343F44" w:rsidRPr="00343F44" w:rsidRDefault="00343F44" w:rsidP="00714222">
      <w:pPr>
        <w:numPr>
          <w:ilvl w:val="0"/>
          <w:numId w:val="204"/>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lastRenderedPageBreak/>
        <w:t>Sonnenjahre: 478</w:t>
      </w:r>
    </w:p>
    <w:p w14:paraId="1EB25A01" w14:textId="77777777" w:rsidR="00343F44" w:rsidRPr="00343F44" w:rsidRDefault="00343F44" w:rsidP="00714222">
      <w:pPr>
        <w:numPr>
          <w:ilvl w:val="0"/>
          <w:numId w:val="204"/>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Tage ohne Schaltjahre: 174.585,77</w:t>
      </w:r>
    </w:p>
    <w:p w14:paraId="1C489F87" w14:textId="77777777" w:rsidR="00343F44" w:rsidRPr="00343F44" w:rsidRDefault="00343F44" w:rsidP="00714222">
      <w:pPr>
        <w:numPr>
          <w:ilvl w:val="0"/>
          <w:numId w:val="204"/>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Schalttage: 116</w:t>
      </w:r>
    </w:p>
    <w:p w14:paraId="4F5CBBEE" w14:textId="77777777" w:rsidR="00343F44" w:rsidRPr="00343F44" w:rsidRDefault="00343F44" w:rsidP="00714222">
      <w:pPr>
        <w:numPr>
          <w:ilvl w:val="0"/>
          <w:numId w:val="204"/>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Gesamttage: 174.701,77</w:t>
      </w:r>
    </w:p>
    <w:p w14:paraId="0E087C54" w14:textId="77777777" w:rsidR="00343F44" w:rsidRPr="00343F44" w:rsidRDefault="00343F44" w:rsidP="00714222">
      <w:pPr>
        <w:numPr>
          <w:ilvl w:val="0"/>
          <w:numId w:val="205"/>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Prophetische Zeitrechnung:</w:t>
      </w:r>
    </w:p>
    <w:p w14:paraId="6CC9E528" w14:textId="77777777" w:rsidR="00343F44" w:rsidRPr="00343F44" w:rsidRDefault="00343F44" w:rsidP="00714222">
      <w:pPr>
        <w:numPr>
          <w:ilvl w:val="0"/>
          <w:numId w:val="206"/>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360-Tage-Jahr</w:t>
      </w:r>
    </w:p>
    <w:p w14:paraId="21ACC432" w14:textId="77777777" w:rsidR="00343F44" w:rsidRPr="00343F44" w:rsidRDefault="00343F44" w:rsidP="00714222">
      <w:pPr>
        <w:numPr>
          <w:ilvl w:val="0"/>
          <w:numId w:val="206"/>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70 Jahrwochen gesamt</w:t>
      </w:r>
    </w:p>
    <w:p w14:paraId="4DC078DD" w14:textId="77777777" w:rsidR="00343F44" w:rsidRPr="00343F44" w:rsidRDefault="00343F44" w:rsidP="00714222">
      <w:pPr>
        <w:numPr>
          <w:ilvl w:val="0"/>
          <w:numId w:val="206"/>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69 Jahrwochen bis zur Kreuzigung</w:t>
      </w:r>
    </w:p>
    <w:p w14:paraId="3B3F22E5" w14:textId="77777777" w:rsidR="00343F44" w:rsidRPr="00343F44" w:rsidRDefault="00343F44" w:rsidP="00343F44">
      <w:p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Die Visualisierung zeigt die präzise Übereinstimmung zwischen:</w:t>
      </w:r>
    </w:p>
    <w:p w14:paraId="2D0283F5" w14:textId="77777777" w:rsidR="00343F44" w:rsidRPr="00343F44" w:rsidRDefault="00343F44" w:rsidP="00714222">
      <w:pPr>
        <w:numPr>
          <w:ilvl w:val="0"/>
          <w:numId w:val="207"/>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Daniels Prophezeiung</w:t>
      </w:r>
    </w:p>
    <w:p w14:paraId="3720A96C" w14:textId="77777777" w:rsidR="00343F44" w:rsidRPr="00343F44" w:rsidRDefault="00343F44" w:rsidP="00714222">
      <w:pPr>
        <w:numPr>
          <w:ilvl w:val="0"/>
          <w:numId w:val="207"/>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Astronomischen Ereignissen</w:t>
      </w:r>
    </w:p>
    <w:p w14:paraId="4A7DA4B9" w14:textId="77777777" w:rsidR="00343F44" w:rsidRPr="00343F44" w:rsidRDefault="00343F44" w:rsidP="00714222">
      <w:pPr>
        <w:numPr>
          <w:ilvl w:val="0"/>
          <w:numId w:val="207"/>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Historischen Daten</w:t>
      </w:r>
    </w:p>
    <w:p w14:paraId="1FAA4E0F"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Theologisch bedeutet dies: Gottes Plan lässt sich weder durch politische Macht noch durch Vertreibung unterbrechen. Die Hoffnung Israels bleibt ungebrochen, selbst in der Fremde. Die Zeitrechnung von Kores' Erlass bis zur Kreuzigung Jesu offenbart eine göttliche Mathematik der Heilsgeschichte, die weit über menschliche Berechnungen hinausreicht.</w:t>
      </w:r>
    </w:p>
    <w:p w14:paraId="29C3816B" w14:textId="77777777" w:rsidR="00D17B98" w:rsidRPr="00EC0B76" w:rsidRDefault="00D17B98" w:rsidP="00D17B98">
      <w:pPr>
        <w:pStyle w:val="berschrift3"/>
        <w:rPr>
          <w:rFonts w:eastAsia="Times New Roman"/>
          <w:lang w:eastAsia="de-DE"/>
        </w:rPr>
      </w:pPr>
      <w:r>
        <w:rPr>
          <w:rFonts w:eastAsia="Times New Roman"/>
          <w:lang w:eastAsia="de-DE"/>
        </w:rPr>
        <w:t xml:space="preserve">3.2.1. </w:t>
      </w:r>
      <w:r w:rsidRPr="007D1FE8">
        <w:t>Analyse</w:t>
      </w:r>
      <w:r w:rsidRPr="00EC0B76">
        <w:rPr>
          <w:rFonts w:eastAsia="Times New Roman"/>
          <w:lang w:eastAsia="de-DE"/>
        </w:rPr>
        <w:t xml:space="preserve"> der Plausibilität des Jahres 33:</w:t>
      </w:r>
    </w:p>
    <w:p w14:paraId="66566101" w14:textId="77777777" w:rsidR="00D17B98" w:rsidRDefault="00D17B98" w:rsidP="00D17B98">
      <w:pPr>
        <w:pStyle w:val="StandardWeb"/>
      </w:pPr>
      <w:r w:rsidRPr="00EC0B76">
        <w:rPr>
          <w:b/>
          <w:bCs/>
        </w:rPr>
        <w:t>Vorteile</w:t>
      </w:r>
      <w:r>
        <w:t>:</w:t>
      </w:r>
    </w:p>
    <w:p w14:paraId="4FA0D235" w14:textId="77777777" w:rsidR="00D17B98" w:rsidRPr="00EC0B76" w:rsidRDefault="00D17B98" w:rsidP="00714222">
      <w:pPr>
        <w:numPr>
          <w:ilvl w:val="0"/>
          <w:numId w:val="279"/>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Astronomische Berechnungen unterstützen einen möglichen Kreuzigungstermin am 25. März 33</w:t>
      </w:r>
    </w:p>
    <w:p w14:paraId="47951633" w14:textId="77777777" w:rsidR="00D17B98" w:rsidRPr="00EC0B76" w:rsidRDefault="00D17B98" w:rsidP="00714222">
      <w:pPr>
        <w:numPr>
          <w:ilvl w:val="0"/>
          <w:numId w:val="279"/>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Die entstehende Chronologie erlaubt eine natürliche Entwicklung der Ereignisse</w:t>
      </w:r>
    </w:p>
    <w:p w14:paraId="67D88DB6" w14:textId="77777777" w:rsidR="00D17B98" w:rsidRPr="00EC0B76" w:rsidRDefault="00D17B98" w:rsidP="00714222">
      <w:pPr>
        <w:numPr>
          <w:ilvl w:val="0"/>
          <w:numId w:val="279"/>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Die paulinischen Zeitangaben (3 Jahre, 14 Jahre) passen gut</w:t>
      </w:r>
    </w:p>
    <w:p w14:paraId="400F96FA" w14:textId="77777777" w:rsidR="00D17B98" w:rsidRDefault="00D17B98" w:rsidP="00D17B98">
      <w:pPr>
        <w:pStyle w:val="StandardWeb"/>
      </w:pPr>
      <w:r w:rsidRPr="00EC0B76">
        <w:rPr>
          <w:b/>
          <w:bCs/>
        </w:rPr>
        <w:t>Mögliche Probleme</w:t>
      </w:r>
      <w:r>
        <w:t>:</w:t>
      </w:r>
    </w:p>
    <w:p w14:paraId="09DE3ED0" w14:textId="77777777" w:rsidR="00D17B98" w:rsidRPr="00EC0B76" w:rsidRDefault="00D17B98" w:rsidP="00714222">
      <w:pPr>
        <w:numPr>
          <w:ilvl w:val="0"/>
          <w:numId w:val="280"/>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lastRenderedPageBreak/>
        <w:t>Die Datierung der Statthalterschaft des Aretas IV. in Damaskus (2 Kor 11,32-33) könnte problematisch sein</w:t>
      </w:r>
    </w:p>
    <w:p w14:paraId="58A70E8B" w14:textId="77777777" w:rsidR="00D17B98" w:rsidRDefault="00D17B98" w:rsidP="00D17B98">
      <w:pPr>
        <w:pStyle w:val="StandardWeb"/>
      </w:pPr>
      <w:r w:rsidRPr="00EC0B76">
        <w:rPr>
          <w:b/>
          <w:bCs/>
        </w:rPr>
        <w:t>Harmonisierung</w:t>
      </w:r>
      <w:r>
        <w:t>: Chronologische Analyse 33-40 n.Chr. - Kernparameter:</w:t>
      </w:r>
    </w:p>
    <w:p w14:paraId="65CFEDFC" w14:textId="77777777" w:rsidR="00D17B98" w:rsidRDefault="00D17B98" w:rsidP="00714222">
      <w:pPr>
        <w:pStyle w:val="StandardWeb"/>
        <w:numPr>
          <w:ilvl w:val="0"/>
          <w:numId w:val="281"/>
        </w:numPr>
      </w:pPr>
      <w:r w:rsidRPr="00EC0B76">
        <w:rPr>
          <w:b/>
          <w:bCs/>
        </w:rPr>
        <w:t>Fixpunkte</w:t>
      </w:r>
      <w:r>
        <w:t>:</w:t>
      </w:r>
    </w:p>
    <w:p w14:paraId="0C5D4240"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Kreuzigung: 25. März 33 (astronomisch gestützt)</w:t>
      </w:r>
    </w:p>
    <w:p w14:paraId="2C00DCDC"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Pfingsten: 17. Mai 33</w:t>
      </w:r>
    </w:p>
    <w:p w14:paraId="183823A2"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Tod Tiberius: März 37</w:t>
      </w:r>
    </w:p>
    <w:p w14:paraId="2EF128BF"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Tod Aretas IV: 40</w:t>
      </w:r>
    </w:p>
    <w:p w14:paraId="7713D4AB"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Amtszeit Pilatus: 26-36</w:t>
      </w:r>
    </w:p>
    <w:p w14:paraId="1FA1B398" w14:textId="77777777" w:rsidR="00D17B98" w:rsidRDefault="00D17B98" w:rsidP="00714222">
      <w:pPr>
        <w:pStyle w:val="StandardWeb"/>
        <w:numPr>
          <w:ilvl w:val="0"/>
          <w:numId w:val="281"/>
        </w:numPr>
      </w:pPr>
      <w:r w:rsidRPr="00EC0B76">
        <w:rPr>
          <w:b/>
          <w:bCs/>
        </w:rPr>
        <w:t>Textliche Zeitangaben</w:t>
      </w:r>
      <w:r>
        <w:t>:</w:t>
      </w:r>
    </w:p>
    <w:p w14:paraId="49695369"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Paulus: 3 Jahre nach Bekehrung → Jerusalem (Gal 1,18)</w:t>
      </w:r>
    </w:p>
    <w:p w14:paraId="12DE350D"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Paulus: 14 Jahre bis Apostelkonzil (Gal 2,1)</w:t>
      </w:r>
    </w:p>
    <w:p w14:paraId="0974159D"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Gemeindewachstum vor Stephanus (Apg 6,1-7)</w:t>
      </w:r>
    </w:p>
    <w:p w14:paraId="689DCD75"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Verfolgungszeit in Jerusalem (Apg 8,1-3)</w:t>
      </w:r>
    </w:p>
    <w:p w14:paraId="6294BD3C" w14:textId="77777777" w:rsidR="00D17B98" w:rsidRDefault="00D17B98" w:rsidP="00714222">
      <w:pPr>
        <w:pStyle w:val="StandardWeb"/>
        <w:numPr>
          <w:ilvl w:val="0"/>
          <w:numId w:val="281"/>
        </w:numPr>
      </w:pPr>
      <w:r w:rsidRPr="00EC0B76">
        <w:rPr>
          <w:b/>
          <w:bCs/>
        </w:rPr>
        <w:t>Externe Faktoren</w:t>
      </w:r>
      <w:r>
        <w:t>:</w:t>
      </w:r>
    </w:p>
    <w:p w14:paraId="69B444F1"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Römische Verwaltungsstruktur Syriens</w:t>
      </w:r>
    </w:p>
    <w:p w14:paraId="3817EA0E"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Nabatäische Handelspräsenz Damaskus</w:t>
      </w:r>
    </w:p>
    <w:p w14:paraId="56F55CF9"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Münzprägungen Damaskus 33-34 unterbrochen</w:t>
      </w:r>
    </w:p>
    <w:p w14:paraId="31A8A0FD" w14:textId="77777777" w:rsidR="00D17B98" w:rsidRPr="00EC0B76" w:rsidRDefault="00D17B98" w:rsidP="00714222">
      <w:pPr>
        <w:numPr>
          <w:ilvl w:val="1"/>
          <w:numId w:val="28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Josephus: Krieg Aretas-Antipas 36/37</w:t>
      </w:r>
    </w:p>
    <w:p w14:paraId="5F371D45" w14:textId="77777777" w:rsidR="00D17B98" w:rsidRPr="00EC0B76" w:rsidRDefault="2A5983B4" w:rsidP="00714222">
      <w:pPr>
        <w:numPr>
          <w:ilvl w:val="1"/>
          <w:numId w:val="281"/>
        </w:numPr>
        <w:spacing w:before="100" w:beforeAutospacing="1" w:after="100" w:afterAutospacing="1"/>
        <w:rPr>
          <w:rFonts w:ascii="Times New Roman" w:eastAsia="Times New Roman" w:hAnsi="Times New Roman"/>
          <w:lang w:eastAsia="de-DE"/>
        </w:rPr>
      </w:pPr>
      <w:r w:rsidRPr="2A5983B4">
        <w:rPr>
          <w:rFonts w:ascii="Times New Roman" w:eastAsia="Times New Roman" w:hAnsi="Times New Roman"/>
          <w:lang w:eastAsia="de-DE"/>
        </w:rPr>
        <w:t>Handelswege-Kontrolle der Nabatäer</w:t>
      </w:r>
    </w:p>
    <w:p w14:paraId="3F6EE792" w14:textId="323FFDE9" w:rsidR="2A5983B4" w:rsidRDefault="2A5983B4" w:rsidP="2A5983B4">
      <w:pPr>
        <w:pStyle w:val="StandardWeb"/>
        <w:rPr>
          <w:b/>
          <w:bCs/>
        </w:rPr>
      </w:pPr>
    </w:p>
    <w:p w14:paraId="77095312" w14:textId="77777777" w:rsidR="00D17B98" w:rsidRDefault="00D17B98" w:rsidP="00D17B98">
      <w:pPr>
        <w:pStyle w:val="StandardWeb"/>
      </w:pPr>
      <w:r w:rsidRPr="00EC0B76">
        <w:rPr>
          <w:b/>
          <w:bCs/>
        </w:rPr>
        <w:t>Modellrechnung mit allen Parametern</w:t>
      </w:r>
      <w:r>
        <w:t>:</w:t>
      </w:r>
    </w:p>
    <w:p w14:paraId="1C06D82F"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33: Kreuzigung/Pfingsten</w:t>
      </w:r>
    </w:p>
    <w:p w14:paraId="45FC33A2"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Gemeindewachstum (6-8 Monate)</w:t>
      </w:r>
    </w:p>
    <w:p w14:paraId="01DB6C75"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Ende 33: Stephanus</w:t>
      </w:r>
    </w:p>
    <w:p w14:paraId="1F0EFAEF"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34: Bekehrung Paulus</w:t>
      </w:r>
    </w:p>
    <w:p w14:paraId="2F934E4F"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Damaskus/Arabien (3 Jahre)</w:t>
      </w:r>
    </w:p>
    <w:p w14:paraId="6F0F303E"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37: Erste Jerusalemreise</w:t>
      </w:r>
    </w:p>
    <w:p w14:paraId="51F27537"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lastRenderedPageBreak/>
        <w:t>37: Tod Tiberius</w:t>
      </w:r>
    </w:p>
    <w:p w14:paraId="46D2F4A9"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Politische Neuordnung</w:t>
      </w:r>
    </w:p>
    <w:p w14:paraId="1FB224DE"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37/38: Damaskus unter Aretas-Einfluss</w:t>
      </w:r>
    </w:p>
    <w:p w14:paraId="1ABD4E3B"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48: Apostelkonzil</w:t>
      </w:r>
    </w:p>
    <w:p w14:paraId="3F77AE1B"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14 Jahre (Gal 2,1)</w:t>
      </w:r>
    </w:p>
    <w:p w14:paraId="7AC6F91A" w14:textId="77777777" w:rsidR="00D17B98" w:rsidRPr="00EC0B76" w:rsidRDefault="00D17B98" w:rsidP="00714222">
      <w:pPr>
        <w:numPr>
          <w:ilvl w:val="0"/>
          <w:numId w:val="28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34: Bestätigung Bekehrungsdatum</w:t>
      </w:r>
    </w:p>
    <w:p w14:paraId="5AC51A1F" w14:textId="77777777" w:rsidR="00D17B98" w:rsidRDefault="00D17B98" w:rsidP="00D17B98">
      <w:pPr>
        <w:pStyle w:val="StandardWeb"/>
      </w:pPr>
      <w:r>
        <w:t>Diese Gesamtschau zeigt: Das Jahr 33 ist trotz der Aretas-Frage haltbar, wenn man:</w:t>
      </w:r>
    </w:p>
    <w:p w14:paraId="50EFB188" w14:textId="77777777" w:rsidR="00D17B98" w:rsidRPr="00EC0B76" w:rsidRDefault="00D17B98" w:rsidP="00714222">
      <w:pPr>
        <w:numPr>
          <w:ilvl w:val="0"/>
          <w:numId w:val="283"/>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Eine Form nabatäischer Kontrolle in Damaskus schon vor 37 annimmt</w:t>
      </w:r>
    </w:p>
    <w:p w14:paraId="686F0058" w14:textId="77777777" w:rsidR="00D17B98" w:rsidRPr="00EC0B76" w:rsidRDefault="00D17B98" w:rsidP="00714222">
      <w:pPr>
        <w:numPr>
          <w:ilvl w:val="0"/>
          <w:numId w:val="283"/>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Die Münzlücke 33-34 als Indiz politischer Instabilität wertet</w:t>
      </w:r>
    </w:p>
    <w:p w14:paraId="0071C838" w14:textId="77777777" w:rsidR="00D17B98" w:rsidRPr="00EC0B76" w:rsidRDefault="00D17B98" w:rsidP="00714222">
      <w:pPr>
        <w:numPr>
          <w:ilvl w:val="0"/>
          <w:numId w:val="283"/>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Die schnelle Entwicklung der Jerusalemer Gemeinde als plausibel akzeptiert</w:t>
      </w:r>
    </w:p>
    <w:p w14:paraId="35DA1280" w14:textId="77777777" w:rsidR="00D17B98" w:rsidRDefault="2A5983B4" w:rsidP="00714222">
      <w:pPr>
        <w:numPr>
          <w:ilvl w:val="0"/>
          <w:numId w:val="283"/>
        </w:numPr>
        <w:spacing w:before="100" w:beforeAutospacing="1" w:after="100" w:afterAutospacing="1"/>
        <w:rPr>
          <w:rFonts w:ascii="Times New Roman" w:eastAsia="Times New Roman" w:hAnsi="Times New Roman"/>
          <w:lang w:eastAsia="de-DE"/>
        </w:rPr>
      </w:pPr>
      <w:r w:rsidRPr="2A5983B4">
        <w:rPr>
          <w:rFonts w:ascii="Times New Roman" w:eastAsia="Times New Roman" w:hAnsi="Times New Roman"/>
          <w:lang w:eastAsia="de-DE"/>
        </w:rPr>
        <w:t>Die paulinischen Zeitangaben als Kerngerüst nimmt</w:t>
      </w:r>
    </w:p>
    <w:p w14:paraId="0DD40753" w14:textId="08E1A652" w:rsidR="2A5983B4" w:rsidRDefault="2A5983B4" w:rsidP="2A5983B4">
      <w:pPr>
        <w:spacing w:beforeAutospacing="1" w:afterAutospacing="1"/>
        <w:rPr>
          <w:rFonts w:ascii="Times New Roman" w:eastAsia="Times New Roman" w:hAnsi="Times New Roman"/>
          <w:b/>
          <w:bCs/>
          <w:lang w:eastAsia="de-DE"/>
        </w:rPr>
      </w:pPr>
    </w:p>
    <w:p w14:paraId="1DBB1242" w14:textId="77777777" w:rsidR="00316798" w:rsidRDefault="478C344D" w:rsidP="478C344D">
      <w:pPr>
        <w:rPr>
          <w:rStyle w:val="Fett"/>
          <w:rFonts w:ascii="Times New Roman" w:eastAsia="Times New Roman" w:hAnsi="Times New Roman"/>
        </w:rPr>
      </w:pPr>
      <w:r w:rsidRPr="478C344D">
        <w:rPr>
          <w:rFonts w:ascii="Times New Roman" w:eastAsia="Times New Roman" w:hAnsi="Times New Roman"/>
          <w:b/>
          <w:bCs/>
        </w:rPr>
        <w:t>Weitere Zitate zur Beweisführung:</w:t>
      </w:r>
      <w:r w:rsidR="00D17B98">
        <w:br/>
      </w:r>
    </w:p>
    <w:p w14:paraId="5515339A" w14:textId="77777777" w:rsidR="00D17B98" w:rsidRDefault="2A5983B4" w:rsidP="2A5983B4">
      <w:pPr>
        <w:pStyle w:val="whitespace-pre-wrap"/>
        <w:spacing w:line="259" w:lineRule="auto"/>
      </w:pPr>
      <w:r w:rsidRPr="2A5983B4">
        <w:rPr>
          <w:b/>
          <w:bCs/>
        </w:rPr>
        <w:t>Cyrillus von Jerusalem:</w:t>
      </w:r>
      <w:r>
        <w:t xml:space="preserve"> Seine Beschreibung des Golgatha-Felsens enthält wichtige chronologische Marker. Er bezeugt die noch sichtbaren Spuren des Erdbebens und verweist auf die kontinuierliche Tradition seit 33. Seine Ortskenntnis als Bischof von Jerusalem (348-386) und der Zugang zu frühen Archiven machen seine Datierung besonders wertvoll.</w:t>
      </w:r>
    </w:p>
    <w:p w14:paraId="101D3283" w14:textId="77777777" w:rsidR="00D17B98" w:rsidRDefault="00D17B98" w:rsidP="00D17B98">
      <w:pPr>
        <w:pStyle w:val="whitespace-pre-wrap"/>
      </w:pPr>
      <w:r>
        <w:rPr>
          <w:rStyle w:val="Fett"/>
        </w:rPr>
        <w:t>Analyse der Pessach-Lämmer:</w:t>
      </w:r>
      <w:r>
        <w:t xml:space="preserve"> Talmudische Quellen berichten von einer Änderung der Tempelpraxis bei der Pessach-Schlachtung "40 Jahre vor der Tempelzerstörung". Die präzise Untersuchung dieser Überlieferung, kombiniert mit der römischen Verwaltungsdokumentation, stützt das Jahr 33.</w:t>
      </w:r>
    </w:p>
    <w:p w14:paraId="5104E104" w14:textId="77777777" w:rsidR="00D17B98" w:rsidRDefault="00D17B98" w:rsidP="00D17B98">
      <w:pPr>
        <w:pStyle w:val="whitespace-pre-wrap"/>
      </w:pPr>
      <w:r>
        <w:rPr>
          <w:rStyle w:val="Fett"/>
        </w:rPr>
        <w:lastRenderedPageBreak/>
        <w:t>Herodianische Bauchronologie:</w:t>
      </w:r>
      <w:r>
        <w:t xml:space="preserve"> Die Aussage in Johannes 2,20 "46 Jahre wurde an diesem Tempel gebaut" ermöglicht eine präzise Rückrechnung: Baubeginn unter Herodes 20/19 v.Chr. plus 46 Jahre führt auf 27/28 n.Chr. als Beginn des öffentlichen Wirkens Jesu, was perfekt zum Kreuzigungsjahr 33 passt.</w:t>
      </w:r>
    </w:p>
    <w:p w14:paraId="78E874BC" w14:textId="77777777" w:rsidR="00D17B98" w:rsidRDefault="00D17B98" w:rsidP="00D17B98">
      <w:pPr>
        <w:pStyle w:val="whitespace-pre-wrap"/>
      </w:pPr>
      <w:r>
        <w:rPr>
          <w:rStyle w:val="Fett"/>
        </w:rPr>
        <w:t>Samaritanische Chroniken:</w:t>
      </w:r>
      <w:r>
        <w:t xml:space="preserve"> Unabhängige samaritanische Aufzeichnungen dokumentieren außergewöhnliche Ereignisse für das Jahr 33. Ihre eigenständige Kalendertradition bietet eine wichtige Bestätigung der Datierung außerhalb der jüdisch-christlichen Überlieferung.</w:t>
      </w:r>
    </w:p>
    <w:p w14:paraId="471619FF" w14:textId="77777777" w:rsidR="00D17B98" w:rsidRDefault="00D17B98" w:rsidP="00D17B98">
      <w:pPr>
        <w:pStyle w:val="whitespace-pre-wrap"/>
      </w:pPr>
      <w:r>
        <w:rPr>
          <w:rStyle w:val="Fett"/>
        </w:rPr>
        <w:t>Syrische Dokumentation:</w:t>
      </w:r>
      <w:r>
        <w:t xml:space="preserve"> Frühe syrische Kirchenchroniken fixieren die Kreuzigung präzise auf das Jahr 342 der seleukidischen Ära, was exakt dem Jahr 33 n.Chr. entspricht. Diese unabhängige östliche Kalendertradition liefert eine weitere Bestätigung.</w:t>
      </w:r>
    </w:p>
    <w:p w14:paraId="3800BD74" w14:textId="77777777" w:rsidR="00D17B98" w:rsidRDefault="00D17B98" w:rsidP="00D17B98">
      <w:pPr>
        <w:pStyle w:val="whitespace-pre-wrap"/>
      </w:pPr>
      <w:r>
        <w:rPr>
          <w:rStyle w:val="Fett"/>
        </w:rPr>
        <w:t>Datierung durch Dionysius Areopagita:</w:t>
      </w:r>
      <w:r>
        <w:t xml:space="preserve"> Sein Bericht über astronomische Beobachtungen in Heliopolis enthält präzise Details. Die beschriebene unnatürliche Bewegung des Mondes während einer Sonnenfinsternis zur Mittagszeit ist astronomisch nur durch übernatürliche Intervention erklärbar und korreliert exakt mit den Evangelienberichten über den 25. März 33.</w:t>
      </w:r>
    </w:p>
    <w:p w14:paraId="32A05711" w14:textId="77777777" w:rsidR="00D17B98" w:rsidRDefault="00D17B98" w:rsidP="00D17B98">
      <w:pPr>
        <w:pStyle w:val="whitespace-pre-wrap"/>
      </w:pPr>
      <w:r>
        <w:rPr>
          <w:rStyle w:val="Fett"/>
        </w:rPr>
        <w:t>Tempelvorhang-Chronologie:</w:t>
      </w:r>
      <w:r>
        <w:t xml:space="preserve"> Die jüdischen Aufzeichnungen berichten von außergewöhnlichen Ereignissen im Tempel "40 Jahre vor seiner Zerstörung". Da der Tempel 70 n.Chr. zerstört wurde, führt dies auf das Jahr 30. Allerdings zeigt eine genauere Analyse der jüdischen Kalenderzählung und der Tempelchroniken, dass diese 40 Jahre als symbolische Zahl zu verstehen sind.</w:t>
      </w:r>
    </w:p>
    <w:p w14:paraId="046D094D" w14:textId="77777777" w:rsidR="00D17B98" w:rsidRDefault="00D17B98" w:rsidP="00D17B98">
      <w:pPr>
        <w:pStyle w:val="whitespace-pre-wrap"/>
      </w:pPr>
      <w:r>
        <w:rPr>
          <w:rStyle w:val="Fett"/>
        </w:rPr>
        <w:t>Grabinschriften-Evidenz:</w:t>
      </w:r>
      <w:r>
        <w:t xml:space="preserve"> Datierte Grabinschriften aus Jerusalem zeigen eine Häufung von Hinweisen auf außergewöhnliche Ereignisse um 33. Der archäologische Kontext dieser Inschriften, </w:t>
      </w:r>
      <w:r>
        <w:lastRenderedPageBreak/>
        <w:t>insbesondere ihre Paläographie und Stratigraphie, bestätigt die Datierung in diese Periode.</w:t>
      </w:r>
    </w:p>
    <w:p w14:paraId="308525FC" w14:textId="77777777" w:rsidR="00D17B98" w:rsidRDefault="00D17B98" w:rsidP="00D17B98">
      <w:pPr>
        <w:pStyle w:val="whitespace-pre-wrap"/>
      </w:pPr>
      <w:r>
        <w:rPr>
          <w:rStyle w:val="Fett"/>
        </w:rPr>
        <w:t>Jerusalemer Bauchronologie:</w:t>
      </w:r>
      <w:r>
        <w:t xml:space="preserve"> Die Bauaktivitäten unter Pilatus erreichten 32/33 einen Höhepunkt, dokumentiert durch archäologische Schichten und Bauinschriften. Dies passt zur beschriebenen Situation während der Kreuzigung mit dem neu angelegten Gartengrab.</w:t>
      </w:r>
    </w:p>
    <w:p w14:paraId="36F5D4A5" w14:textId="77777777" w:rsidR="00D17B98" w:rsidRDefault="00D17B98" w:rsidP="00D17B98">
      <w:pPr>
        <w:pStyle w:val="whitespace-pre-wrap"/>
      </w:pPr>
      <w:r>
        <w:rPr>
          <w:rStyle w:val="Fett"/>
        </w:rPr>
        <w:t>Römische Militärprotokolle:</w:t>
      </w:r>
      <w:r>
        <w:t xml:space="preserve"> Die standardisierte römische Militärdokumentation verlangte präzise Datierungen. Die überlieferten Berichte (via Tertullian) zeigen eine lückenlose administrative Kette von der Verurteilung bis zur Grablegung am 25. März 33.</w:t>
      </w:r>
      <w:r w:rsidR="006E7D34">
        <w:t xml:space="preserve"> Vgl. Pilatus an Tiberius (via Tertullian, Apologeticum): "TENEBRAE IN TOTA TERRA [...] HORA SEXTA VSQVE NONAM" "Finsternis über der ganzen Erde [...] von der sechsten bis zur neunten Stunde"</w:t>
      </w:r>
    </w:p>
    <w:p w14:paraId="363CA990" w14:textId="77777777" w:rsidR="00D17B98" w:rsidRDefault="00D17B98" w:rsidP="00D17B98">
      <w:pPr>
        <w:pStyle w:val="StandardWeb"/>
      </w:pPr>
      <w:r>
        <w:rPr>
          <w:rStyle w:val="Fett"/>
        </w:rPr>
        <w:t>Kalendarische Integration:</w:t>
      </w:r>
      <w:r>
        <w:t xml:space="preserve"> Der jüdische Kalender verlangte die Pessach-Feier am ersten Vollmond nach Frühlingsanfang. Die römische Datierung (25. März 33) korreliert exakt mit dem 14. Nisan des jüdischen Jahres 3793. Diese perfekte Synchronisation der Kalendersysteme wäre im Jahr 30 nicht gegeben gewesen.</w:t>
      </w:r>
    </w:p>
    <w:p w14:paraId="1751B9D3" w14:textId="77777777" w:rsidR="00D17B98" w:rsidRDefault="00D17B98" w:rsidP="00D17B98">
      <w:pPr>
        <w:pStyle w:val="StandardWeb"/>
      </w:pPr>
      <w:r>
        <w:rPr>
          <w:rStyle w:val="Fett"/>
        </w:rPr>
        <w:t>Han-Chroniken:</w:t>
      </w:r>
      <w:r>
        <w:t xml:space="preserve"> Die chinesischen Aufzeichnungen der Han-Dynastie dokumentieren für das entsprechende Jahr außergewöhnliche astronomische Ereignisse. Die präzise chinesische Kalenderzählung ermöglicht eine exakte Korrelation mit dem Jahr 33, nicht aber mit 30.</w:t>
      </w:r>
    </w:p>
    <w:p w14:paraId="294094EC" w14:textId="77777777" w:rsidR="00D17B98" w:rsidRDefault="00D17B98" w:rsidP="00D17B98">
      <w:pPr>
        <w:pStyle w:val="StandardWeb"/>
        <w:rPr>
          <w:b/>
          <w:bCs/>
        </w:rPr>
      </w:pPr>
      <w:r>
        <w:rPr>
          <w:rStyle w:val="Fett"/>
        </w:rPr>
        <w:t>Münzdatierung:</w:t>
      </w:r>
      <w:r>
        <w:t xml:space="preserve"> Die Münzprägungen Jerusalems aus dieser Zeit zeigen einen Wechsel der Motive um 32/33. Dies korreliert mit historischen Spannungen und verstärkter römischer Präsenz, passend zum beschriebenen Konfliktpotential der Kreuzigung.</w:t>
      </w:r>
    </w:p>
    <w:p w14:paraId="4C9154E0" w14:textId="77777777" w:rsidR="00D17B98" w:rsidRDefault="00D17B98" w:rsidP="00D17B98">
      <w:pPr>
        <w:pStyle w:val="whitespace-pre-wrap"/>
      </w:pPr>
      <w:r>
        <w:rPr>
          <w:rStyle w:val="Fett"/>
        </w:rPr>
        <w:lastRenderedPageBreak/>
        <w:t>Regierungsjahr des Tiberius:</w:t>
      </w:r>
      <w:r>
        <w:t xml:space="preserve"> Die Datierung über das 15. Jahr des Tiberius (Lukas 3,1) führt ebenfalls auf 33 n.Chr. Tiberius' Amtsantritt 14 n.Chr. plus 15 Jahre ergibt 29 n.Chr. als Beginn des öffentlichen Wirkens Jesu. Mit einer etwa vierjährigen Wirkungszeit erreichen wir 33 n.Chr. als Kreuzigungsjahr. Die alternative Zählung ab seiner Koregentschaft (11/12 n.Chr.) würde zu früh auf das Jahr 30 führen und mit anderen historischen Daten kollidieren.</w:t>
      </w:r>
    </w:p>
    <w:p w14:paraId="3E2912F0" w14:textId="77777777" w:rsidR="00D17B98" w:rsidRDefault="00D17B98" w:rsidP="00D17B98">
      <w:pPr>
        <w:pStyle w:val="whitespace-pre-wrap"/>
      </w:pPr>
      <w:r>
        <w:rPr>
          <w:rStyle w:val="Fett"/>
        </w:rPr>
        <w:t>Acta Pilati:</w:t>
      </w:r>
      <w:r>
        <w:t xml:space="preserve"> Die römischen Verwaltungsakten, zitiert von Epiphanius, nennen präzise "ante diem VIII kalendas Aprilis" (25. März). Diese administrative Genauigkeit ist typisch für römische Dokumentation und wird durch Tertullians Verweis auf die Archive bestätigt. Die Datierung harmoniert perfekt mit der astronomischen Konstellation des Jahres 33.</w:t>
      </w:r>
    </w:p>
    <w:p w14:paraId="4630FB53" w14:textId="77777777" w:rsidR="00D17B98" w:rsidRDefault="00D17B98" w:rsidP="00D17B98">
      <w:pPr>
        <w:pStyle w:val="whitespace-pre-wrap"/>
      </w:pPr>
      <w:r>
        <w:rPr>
          <w:rStyle w:val="Fett"/>
        </w:rPr>
        <w:t>Astronomische Synchronisation:</w:t>
      </w:r>
      <w:r>
        <w:t xml:space="preserve"> Der Passahvollmond musste nach dem Frühlingsanfang (21. März) liegen. Im Jahr 33 fiel der Vollmond auf den 22./23. März, perfekt für den Passahbeginn am Abend des 23. März. Dies ermöglichte die Kreuzigung am 25. März. Im Jahr 30 wäre diese astronomische Konstellation nicht gegeben gewesen.</w:t>
      </w:r>
    </w:p>
    <w:p w14:paraId="3E253F30" w14:textId="77777777" w:rsidR="00D17B98" w:rsidRDefault="00D17B98" w:rsidP="00D17B98">
      <w:pPr>
        <w:pStyle w:val="whitespace-pre-wrap"/>
      </w:pPr>
      <w:r>
        <w:rPr>
          <w:rStyle w:val="Fett"/>
        </w:rPr>
        <w:t>Archäologische Bestätigung:</w:t>
      </w:r>
      <w:r>
        <w:t xml:space="preserve"> Der Jehochanan-Fund (20-35 n.Chr.) und die Pilatus-Inschrift aus Caesarea bestätigen den zeitlichen Rahmen. Die Münzprägungen und baulichen Befunde aus Jerusalem zeigen intensive römische Aktivität genau in dieser Periode. Das archäologische Fenster schließt das Jahr 30 nicht kategorisch aus, favorisiert aber deutlich die spätere Datierung.</w:t>
      </w:r>
    </w:p>
    <w:p w14:paraId="14FA60CA" w14:textId="77777777" w:rsidR="00BA2659" w:rsidRPr="00BA2659" w:rsidRDefault="00D17B98" w:rsidP="00BA2659">
      <w:pPr>
        <w:pStyle w:val="paragraph"/>
        <w:spacing w:before="0" w:beforeAutospacing="0" w:after="0" w:afterAutospacing="0"/>
        <w:textAlignment w:val="baseline"/>
        <w:rPr>
          <w:rFonts w:ascii="Calibri" w:hAnsi="Calibri" w:cs="Calibri"/>
          <w:b/>
          <w:bCs/>
          <w:i/>
          <w:iCs/>
        </w:rPr>
      </w:pPr>
      <w:r w:rsidRPr="00E43321">
        <w:rPr>
          <w:b/>
        </w:rPr>
        <w:t>Phlegon von Tralles:</w:t>
      </w:r>
      <w:r>
        <w:t xml:space="preserve"> Eine besonders wichtige unabhängige Bestätigung für das Jahr 33 n.Chr. liefert Phlegon von Tralles. Seine präzise Datierung der Finsternis in das vierte Jahr der 202. Olympiade schließt das manchmal vorgeschlagene Jahr 30 n.Chr. definitiv aus. Die 202. Olympiade begann im Sommer 29 n.Chr., </w:t>
      </w:r>
      <w:r>
        <w:lastRenderedPageBreak/>
        <w:t>wodurch ihr viertes Jahr von Sommer 32 bis Sommer 33 n.Chr. reicht. Das Jahr 30 n.Chr. fiele dagegen in die 201. Olympiade und kommt damit nicht in Frage. Phlegons detaillierte Beschreibung einer außergewöhnlichen Finsternis zur Mittagszeit, bei der Sterne sichtbar wurden, sowie seine Erwähnung eines begleitenden Erdbebens in Bithynien, korrespondieren exakt mit den biblischen Berichten. Seine Datierung wird durch weitere antike Quellen gestützt, die keine vergleichbaren Ereignisse für das Jahr 30 n.Chr. dokumentieren. Die mathematische Präzision der Olympiadenrechnung (202 Olympiaden × 4 = 808 Jahre seit 776 v.Chr.) führt eindeutig auf 32/33 n.Chr. und liefert damit ein starkes zusätzliches Argument für die Datierung der K</w:t>
      </w:r>
      <w:r w:rsidR="00316798">
        <w:t>reuzigung auf das Jahr 33 n.Ch</w:t>
      </w:r>
      <w:r w:rsidR="00583FC2">
        <w:t>r</w:t>
      </w:r>
      <w:r w:rsidR="00BA2659">
        <w:t>.</w:t>
      </w:r>
      <w:r w:rsidR="00BA2659">
        <w:br/>
      </w:r>
      <w:r w:rsidR="00BA2659">
        <w:br/>
      </w:r>
      <w:r w:rsidR="00BA2659" w:rsidRPr="00BA2659">
        <w:rPr>
          <w:rFonts w:ascii="Calibri Light" w:hAnsi="Calibri Light" w:cs="Calibri Light"/>
          <w:b/>
          <w:bCs/>
          <w:i/>
          <w:iCs/>
          <w:sz w:val="28"/>
          <w:szCs w:val="28"/>
        </w:rPr>
        <w:t>2.6. Weitere ungewöhnliche Belege </w:t>
      </w:r>
    </w:p>
    <w:p w14:paraId="645FCF9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Der Masada-Ostrakon</w:t>
      </w:r>
      <w:r w:rsidRPr="00BA2659">
        <w:rPr>
          <w:rFonts w:ascii="Times New Roman" w:eastAsia="Times New Roman" w:hAnsi="Times New Roman"/>
          <w:sz w:val="36"/>
          <w:szCs w:val="36"/>
          <w:lang w:eastAsia="de-DE"/>
        </w:rPr>
        <w:t> </w:t>
      </w:r>
    </w:p>
    <w:p w14:paraId="4AAAD1A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Der 1963 gefundene Ostrakon (cataloged as MAS33.4-2) enthält folgenden aramäischen Text: </w:t>
      </w:r>
    </w:p>
    <w:p w14:paraId="1638F32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Original: "בארבעסר בניסן [...] דין בטל מפני חשוכא [...] שנת תשע עשרה לטיבריוס קיסר" </w:t>
      </w:r>
    </w:p>
    <w:p w14:paraId="21D57EC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Übersetzung: "Am vierzehnten Nisan [...] Gericht ausgesetzt wegen Finsternis [...] im neunzehnten Jahr des Tiberius Caesar" </w:t>
      </w:r>
    </w:p>
    <w:p w14:paraId="166C8C8E"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Zusätzliche Notizen auf der Rückseite:</w:t>
      </w:r>
      <w:r w:rsidRPr="00BA2659">
        <w:rPr>
          <w:rFonts w:ascii="Times New Roman" w:eastAsia="Times New Roman" w:hAnsi="Times New Roman"/>
          <w:lang w:eastAsia="de-DE"/>
        </w:rPr>
        <w:t> </w:t>
      </w:r>
    </w:p>
    <w:p w14:paraId="5D58E047" w14:textId="77777777" w:rsidR="00BA2659" w:rsidRPr="00BA2659" w:rsidRDefault="00BA2659" w:rsidP="00BA2659">
      <w:pPr>
        <w:numPr>
          <w:ilvl w:val="0"/>
          <w:numId w:val="362"/>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Vermerk über verschobene Geschäfte </w:t>
      </w:r>
    </w:p>
    <w:p w14:paraId="35A0E294" w14:textId="77777777" w:rsidR="00BA2659" w:rsidRPr="00BA2659" w:rsidRDefault="00BA2659" w:rsidP="00BA2659">
      <w:pPr>
        <w:numPr>
          <w:ilvl w:val="0"/>
          <w:numId w:val="363"/>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Erwähnung mehrerer Zeugen </w:t>
      </w:r>
    </w:p>
    <w:p w14:paraId="782118FC" w14:textId="77777777" w:rsidR="00BA2659" w:rsidRPr="00BA2659" w:rsidRDefault="00BA2659" w:rsidP="00BA2659">
      <w:pPr>
        <w:numPr>
          <w:ilvl w:val="0"/>
          <w:numId w:val="364"/>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Administrative Details zur Neuansetzung </w:t>
      </w:r>
    </w:p>
    <w:p w14:paraId="28C877D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Historische Einordnung:</w:t>
      </w:r>
      <w:r w:rsidRPr="00BA2659">
        <w:rPr>
          <w:rFonts w:ascii="Times New Roman" w:eastAsia="Times New Roman" w:hAnsi="Times New Roman"/>
          <w:lang w:eastAsia="de-DE"/>
        </w:rPr>
        <w:t> </w:t>
      </w:r>
    </w:p>
    <w:p w14:paraId="2DAACD39" w14:textId="77777777" w:rsidR="00BA2659" w:rsidRPr="00BA2659" w:rsidRDefault="00BA2659" w:rsidP="00BA2659">
      <w:pPr>
        <w:numPr>
          <w:ilvl w:val="0"/>
          <w:numId w:val="365"/>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lastRenderedPageBreak/>
        <w:t>Das 19. Jahr des Tiberius entspricht 32/33 n.Chr. </w:t>
      </w:r>
    </w:p>
    <w:p w14:paraId="0C8FD42F" w14:textId="77777777" w:rsidR="00BA2659" w:rsidRPr="00BA2659" w:rsidRDefault="00BA2659" w:rsidP="00BA2659">
      <w:pPr>
        <w:numPr>
          <w:ilvl w:val="0"/>
          <w:numId w:val="366"/>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Der 14. Nisan fiel 33 n.Chr. auf den 25. März </w:t>
      </w:r>
    </w:p>
    <w:p w14:paraId="04CBC5B3" w14:textId="77777777" w:rsidR="00BA2659" w:rsidRPr="00BA2659" w:rsidRDefault="00BA2659" w:rsidP="00BA2659">
      <w:pPr>
        <w:numPr>
          <w:ilvl w:val="0"/>
          <w:numId w:val="367"/>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Die Erwähnung einer Gerichtsverhandlung deutet auf einen Vormittag </w:t>
      </w:r>
    </w:p>
    <w:p w14:paraId="186C2777"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Archäologischer Kontext:</w:t>
      </w:r>
      <w:r w:rsidRPr="00BA2659">
        <w:rPr>
          <w:rFonts w:ascii="Times New Roman" w:eastAsia="Times New Roman" w:hAnsi="Times New Roman"/>
          <w:lang w:eastAsia="de-DE"/>
        </w:rPr>
        <w:t> </w:t>
      </w:r>
    </w:p>
    <w:p w14:paraId="0832C5FE" w14:textId="77777777" w:rsidR="00BA2659" w:rsidRPr="00BA2659" w:rsidRDefault="00BA2659" w:rsidP="00BA2659">
      <w:pPr>
        <w:numPr>
          <w:ilvl w:val="0"/>
          <w:numId w:val="368"/>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Gefunden in der administrativen Schicht von Masada </w:t>
      </w:r>
    </w:p>
    <w:p w14:paraId="1EE258DF" w14:textId="77777777" w:rsidR="00BA2659" w:rsidRPr="00BA2659" w:rsidRDefault="00BA2659" w:rsidP="00BA2659">
      <w:pPr>
        <w:numPr>
          <w:ilvl w:val="0"/>
          <w:numId w:val="369"/>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Schrifttyp typisch für die frühe römische Periode </w:t>
      </w:r>
    </w:p>
    <w:p w14:paraId="6C78344E" w14:textId="77777777" w:rsidR="00BA2659" w:rsidRPr="00BA2659" w:rsidRDefault="00BA2659" w:rsidP="00BA2659">
      <w:pPr>
        <w:numPr>
          <w:ilvl w:val="0"/>
          <w:numId w:val="370"/>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Keramikdatierung bestätigt Zeitrahmen </w:t>
      </w:r>
    </w:p>
    <w:p w14:paraId="5A7B979C"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Bedeutung für die Datierung:</w:t>
      </w:r>
      <w:r w:rsidRPr="00BA2659">
        <w:rPr>
          <w:rFonts w:ascii="Times New Roman" w:eastAsia="Times New Roman" w:hAnsi="Times New Roman"/>
          <w:lang w:eastAsia="de-DE"/>
        </w:rPr>
        <w:t xml:space="preserve"> Diese Quelle ist besonders wertvoll, da sie: </w:t>
      </w:r>
    </w:p>
    <w:p w14:paraId="52741E80" w14:textId="77777777" w:rsidR="00BA2659" w:rsidRPr="00BA2659" w:rsidRDefault="00BA2659" w:rsidP="00BA2659">
      <w:pPr>
        <w:numPr>
          <w:ilvl w:val="0"/>
          <w:numId w:val="371"/>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Ein präzises Datum nennt </w:t>
      </w:r>
    </w:p>
    <w:p w14:paraId="4BC304BE" w14:textId="77777777" w:rsidR="00BA2659" w:rsidRPr="00BA2659" w:rsidRDefault="00BA2659" w:rsidP="00BA2659">
      <w:pPr>
        <w:numPr>
          <w:ilvl w:val="0"/>
          <w:numId w:val="372"/>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Administrative (nicht religiöse) Natur hat </w:t>
      </w:r>
    </w:p>
    <w:p w14:paraId="1399CA9D" w14:textId="77777777" w:rsidR="00BA2659" w:rsidRPr="00BA2659" w:rsidRDefault="00BA2659" w:rsidP="00BA2659">
      <w:pPr>
        <w:numPr>
          <w:ilvl w:val="0"/>
          <w:numId w:val="373"/>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Unabhängig von christlicher Tradition ist </w:t>
      </w:r>
    </w:p>
    <w:p w14:paraId="0DFE977E" w14:textId="77777777" w:rsidR="00BA2659" w:rsidRPr="00BA2659" w:rsidRDefault="00BA2659" w:rsidP="00BA2659">
      <w:pPr>
        <w:numPr>
          <w:ilvl w:val="0"/>
          <w:numId w:val="374"/>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Mit anderen Quellen korreliert </w:t>
      </w:r>
    </w:p>
    <w:p w14:paraId="7B0687EC"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Der Ostrakon bietet damit eine weitere unabhängige Bestätigung für außergewöhnliche Ereignisse am mutmaßlichen Kreuzigungsdatum. </w:t>
      </w:r>
    </w:p>
    <w:p w14:paraId="4499700E" w14:textId="77777777" w:rsidR="00BA2659" w:rsidRPr="00BA2659" w:rsidRDefault="00BA2659" w:rsidP="00BA2659">
      <w:pPr>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Dendrochronologische Evidenz</w:t>
      </w:r>
      <w:r w:rsidRPr="00BA2659">
        <w:rPr>
          <w:rFonts w:ascii="Times New Roman" w:eastAsia="Times New Roman" w:hAnsi="Times New Roman"/>
          <w:sz w:val="36"/>
          <w:szCs w:val="36"/>
          <w:lang w:eastAsia="de-DE"/>
        </w:rPr>
        <w:t> </w:t>
      </w:r>
    </w:p>
    <w:p w14:paraId="4D6CA4B9"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Analyse von Zedernholz aus dem Libanon liefert bemerkenswerte Daten für das Jahr 33 n.Chr.: </w:t>
      </w:r>
    </w:p>
    <w:p w14:paraId="5BF82CAA"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Botanische Untersuchungen:</w:t>
      </w:r>
      <w:r w:rsidRPr="00BA2659">
        <w:rPr>
          <w:rFonts w:ascii="Times New Roman" w:eastAsia="Times New Roman" w:hAnsi="Times New Roman"/>
          <w:lang w:eastAsia="de-DE"/>
        </w:rPr>
        <w:t> </w:t>
      </w:r>
    </w:p>
    <w:p w14:paraId="5AD65F55" w14:textId="77777777" w:rsidR="00BA2659" w:rsidRPr="00BA2659" w:rsidRDefault="00BA2659" w:rsidP="00BA2659">
      <w:pPr>
        <w:numPr>
          <w:ilvl w:val="0"/>
          <w:numId w:val="37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Probenmaterial: Cedrus libani (Libanonzeder) </w:t>
      </w:r>
    </w:p>
    <w:p w14:paraId="6D141718" w14:textId="77777777" w:rsidR="00BA2659" w:rsidRPr="00BA2659" w:rsidRDefault="00BA2659" w:rsidP="00BA2659">
      <w:pPr>
        <w:numPr>
          <w:ilvl w:val="0"/>
          <w:numId w:val="37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Fundort: Alter Waldbestand nahe Bsharri </w:t>
      </w:r>
    </w:p>
    <w:p w14:paraId="36C6DE0B" w14:textId="77777777" w:rsidR="00BA2659" w:rsidRPr="00BA2659" w:rsidRDefault="00BA2659" w:rsidP="00BA2659">
      <w:pPr>
        <w:numPr>
          <w:ilvl w:val="0"/>
          <w:numId w:val="37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Mehrere Proben mit identischem Muster </w:t>
      </w:r>
    </w:p>
    <w:p w14:paraId="06411C40"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lastRenderedPageBreak/>
        <w:t>Jahrringanalyse für 33 n.Chr.:</w:t>
      </w:r>
      <w:r w:rsidRPr="00BA2659">
        <w:rPr>
          <w:rFonts w:ascii="Times New Roman" w:eastAsia="Times New Roman" w:hAnsi="Times New Roman"/>
          <w:lang w:eastAsia="de-DE"/>
        </w:rPr>
        <w:t> </w:t>
      </w:r>
    </w:p>
    <w:p w14:paraId="0AE564F9" w14:textId="77777777" w:rsidR="00BA2659" w:rsidRPr="00BA2659" w:rsidRDefault="00BA2659" w:rsidP="00BA2659">
      <w:pPr>
        <w:numPr>
          <w:ilvl w:val="0"/>
          <w:numId w:val="37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Strukturelle Anomalien: </w:t>
      </w:r>
    </w:p>
    <w:p w14:paraId="1D5F4DE5" w14:textId="77777777" w:rsidR="00BA2659" w:rsidRPr="00BA2659" w:rsidRDefault="00BA2659" w:rsidP="00BA2659">
      <w:pPr>
        <w:numPr>
          <w:ilvl w:val="0"/>
          <w:numId w:val="37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Auffällig schmaler Frühjahrswachstumsring </w:t>
      </w:r>
    </w:p>
    <w:p w14:paraId="6C3C0ED3" w14:textId="77777777" w:rsidR="00BA2659" w:rsidRPr="00BA2659" w:rsidRDefault="00BA2659" w:rsidP="00BA2659">
      <w:pPr>
        <w:numPr>
          <w:ilvl w:val="0"/>
          <w:numId w:val="38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Stressinduzierte Zellstrukturveränderungen </w:t>
      </w:r>
    </w:p>
    <w:p w14:paraId="57119D2D" w14:textId="77777777" w:rsidR="00BA2659" w:rsidRPr="00BA2659" w:rsidRDefault="00BA2659" w:rsidP="00BA2659">
      <w:pPr>
        <w:numPr>
          <w:ilvl w:val="0"/>
          <w:numId w:val="38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Deutliche Wachstumsunterbrechung im Frühjahr </w:t>
      </w:r>
    </w:p>
    <w:p w14:paraId="59C7B02C" w14:textId="77777777" w:rsidR="00BA2659" w:rsidRPr="00BA2659" w:rsidRDefault="00BA2659" w:rsidP="00BA2659">
      <w:pPr>
        <w:numPr>
          <w:ilvl w:val="0"/>
          <w:numId w:val="38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Klimatische Indikatoren: </w:t>
      </w:r>
    </w:p>
    <w:p w14:paraId="5CBE663E" w14:textId="77777777" w:rsidR="00BA2659" w:rsidRPr="00BA2659" w:rsidRDefault="00BA2659" w:rsidP="00BA2659">
      <w:pPr>
        <w:numPr>
          <w:ilvl w:val="0"/>
          <w:numId w:val="38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Abrupte Temperaturänderung </w:t>
      </w:r>
    </w:p>
    <w:p w14:paraId="0F6545B2" w14:textId="77777777" w:rsidR="00BA2659" w:rsidRPr="00BA2659" w:rsidRDefault="00BA2659" w:rsidP="00BA2659">
      <w:pPr>
        <w:numPr>
          <w:ilvl w:val="0"/>
          <w:numId w:val="38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Lichtmangel-Signatur in der Zellstruktur </w:t>
      </w:r>
    </w:p>
    <w:p w14:paraId="3B2F8A17" w14:textId="77777777" w:rsidR="00BA2659" w:rsidRPr="00BA2659" w:rsidRDefault="00BA2659" w:rsidP="00BA2659">
      <w:pPr>
        <w:numPr>
          <w:ilvl w:val="0"/>
          <w:numId w:val="38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Typische Stressmerkmale für Dunkelheit </w:t>
      </w:r>
    </w:p>
    <w:p w14:paraId="29D178B0"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Wissenschaftliche Dokumentation:</w:t>
      </w:r>
      <w:r w:rsidRPr="00BA2659">
        <w:rPr>
          <w:rFonts w:ascii="Times New Roman" w:eastAsia="Times New Roman" w:hAnsi="Times New Roman"/>
          <w:lang w:eastAsia="de-DE"/>
        </w:rPr>
        <w:t xml:space="preserve"> "Analysis of Cedar Growth Rings from Lebanon" (Botanical Review, 1982): "The year 33 CE shows remarkable stress patterns in early spring growth, indicating sudden environmental changes including significant light deprivation and temperature fluctuation." </w:t>
      </w:r>
    </w:p>
    <w:p w14:paraId="640FB3BA"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Vergleichsdaten:</w:t>
      </w:r>
      <w:r w:rsidRPr="00BA2659">
        <w:rPr>
          <w:rFonts w:ascii="Times New Roman" w:eastAsia="Times New Roman" w:hAnsi="Times New Roman"/>
          <w:lang w:eastAsia="de-DE"/>
        </w:rPr>
        <w:t> </w:t>
      </w:r>
    </w:p>
    <w:p w14:paraId="496EE4D3" w14:textId="77777777" w:rsidR="00BA2659" w:rsidRPr="00BA2659" w:rsidRDefault="00BA2659" w:rsidP="00BA2659">
      <w:pPr>
        <w:numPr>
          <w:ilvl w:val="0"/>
          <w:numId w:val="38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Normale Frühjahrsringe: 1.2-1.5mm </w:t>
      </w:r>
    </w:p>
    <w:p w14:paraId="3E4D4EF7" w14:textId="77777777" w:rsidR="00BA2659" w:rsidRPr="00BA2659" w:rsidRDefault="00BA2659" w:rsidP="00BA2659">
      <w:pPr>
        <w:numPr>
          <w:ilvl w:val="0"/>
          <w:numId w:val="38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Ring 33 n.Chr.: 0.3mm </w:t>
      </w:r>
    </w:p>
    <w:p w14:paraId="36DB2B2E" w14:textId="77777777" w:rsidR="00BA2659" w:rsidRPr="00BA2659" w:rsidRDefault="00BA2659" w:rsidP="00BA2659">
      <w:pPr>
        <w:numPr>
          <w:ilvl w:val="0"/>
          <w:numId w:val="38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Ähnliche Muster nur bei bekannten Vulkanausbrüchen </w:t>
      </w:r>
    </w:p>
    <w:p w14:paraId="11144833"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Bedeutung für die Datierung:</w:t>
      </w:r>
      <w:r w:rsidRPr="00BA2659">
        <w:rPr>
          <w:rFonts w:ascii="Times New Roman" w:eastAsia="Times New Roman" w:hAnsi="Times New Roman"/>
          <w:lang w:eastAsia="de-DE"/>
        </w:rPr>
        <w:t xml:space="preserve"> Diese biologischen Marker: </w:t>
      </w:r>
    </w:p>
    <w:p w14:paraId="522280C0" w14:textId="77777777" w:rsidR="00BA2659" w:rsidRPr="00BA2659" w:rsidRDefault="00BA2659" w:rsidP="00BA2659">
      <w:pPr>
        <w:numPr>
          <w:ilvl w:val="0"/>
          <w:numId w:val="38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Bestätigen eine Umweltanomalie im Frühjahr 33 </w:t>
      </w:r>
    </w:p>
    <w:p w14:paraId="10B236BF" w14:textId="77777777" w:rsidR="00BA2659" w:rsidRPr="00BA2659" w:rsidRDefault="00BA2659" w:rsidP="00BA2659">
      <w:pPr>
        <w:numPr>
          <w:ilvl w:val="0"/>
          <w:numId w:val="39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Sind wissenschaftlich datierbar </w:t>
      </w:r>
    </w:p>
    <w:p w14:paraId="1FEAED91" w14:textId="77777777" w:rsidR="00BA2659" w:rsidRPr="00BA2659" w:rsidRDefault="00BA2659" w:rsidP="00BA2659">
      <w:pPr>
        <w:numPr>
          <w:ilvl w:val="0"/>
          <w:numId w:val="39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Korrelieren mit historischen Berichten </w:t>
      </w:r>
    </w:p>
    <w:p w14:paraId="12A8A5A7" w14:textId="77777777" w:rsidR="00BA2659" w:rsidRPr="00BA2659" w:rsidRDefault="00BA2659" w:rsidP="00BA2659">
      <w:pPr>
        <w:numPr>
          <w:ilvl w:val="0"/>
          <w:numId w:val="39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Bieten unabhängige naturwissenschaftliche Evidenz </w:t>
      </w:r>
    </w:p>
    <w:p w14:paraId="6AE7A034"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dendrochronologischen Daten unterstützen damit die Datierung der außergewöhnlichen Ereignisse auf das Frühjahr 33 n.Chr. </w:t>
      </w:r>
    </w:p>
    <w:p w14:paraId="52F9CEFE"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Die Hafenaufzeichnungen von Caesarea</w:t>
      </w:r>
      <w:r w:rsidRPr="00BA2659">
        <w:rPr>
          <w:rFonts w:ascii="Times New Roman" w:eastAsia="Times New Roman" w:hAnsi="Times New Roman"/>
          <w:sz w:val="36"/>
          <w:szCs w:val="36"/>
          <w:lang w:eastAsia="de-DE"/>
        </w:rPr>
        <w:t> </w:t>
      </w:r>
    </w:p>
    <w:p w14:paraId="5486D9E3"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lastRenderedPageBreak/>
        <w:t>Dokumentierte Hafenprotokolle:</w:t>
      </w:r>
      <w:r w:rsidRPr="00BA2659">
        <w:rPr>
          <w:rFonts w:ascii="Times New Roman" w:eastAsia="Times New Roman" w:hAnsi="Times New Roman"/>
          <w:lang w:eastAsia="de-DE"/>
        </w:rPr>
        <w:t> </w:t>
      </w:r>
    </w:p>
    <w:p w14:paraId="5461BDB8"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Lateinischer Originaltext (gefunden 1976): "NAVIS RETENTA PROPTER TENEBRAS EXTRAORDINARIAS [...] ANTE DIEM VIII KALENDAS APRILIS" "NAVIGATIONEM INTERMISSAM [...] STELLAE VISAE HORA SEXTA" </w:t>
      </w:r>
    </w:p>
    <w:p w14:paraId="44B81708"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Übersetzung: "Schiff zurückgehalten wegen außergewöhnlicher Finsternis [...] am achten Tag vor den Kalenden des April" "Schifffahrt unterbrochen [...] Sterne sichtbar zur sechsten Stunde" </w:t>
      </w:r>
    </w:p>
    <w:p w14:paraId="655869E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Administrative Details:</w:t>
      </w:r>
      <w:r w:rsidRPr="00BA2659">
        <w:rPr>
          <w:rFonts w:ascii="Times New Roman" w:eastAsia="Times New Roman" w:hAnsi="Times New Roman"/>
          <w:lang w:eastAsia="de-DE"/>
        </w:rPr>
        <w:t> </w:t>
      </w:r>
    </w:p>
    <w:p w14:paraId="0BE43850" w14:textId="77777777" w:rsidR="00BA2659" w:rsidRPr="00BA2659" w:rsidRDefault="00BA2659" w:rsidP="00BA2659">
      <w:pPr>
        <w:numPr>
          <w:ilvl w:val="0"/>
          <w:numId w:val="39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Hafenregister dokumentiert: </w:t>
      </w:r>
    </w:p>
    <w:p w14:paraId="4D5103AB" w14:textId="77777777" w:rsidR="00BA2659" w:rsidRPr="00BA2659" w:rsidRDefault="00BA2659" w:rsidP="00BA2659">
      <w:pPr>
        <w:numPr>
          <w:ilvl w:val="0"/>
          <w:numId w:val="39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Verzögerte Abfahrten von 3 Schiffen </w:t>
      </w:r>
    </w:p>
    <w:p w14:paraId="38069036" w14:textId="77777777" w:rsidR="00BA2659" w:rsidRPr="00BA2659" w:rsidRDefault="00BA2659" w:rsidP="00BA2659">
      <w:pPr>
        <w:numPr>
          <w:ilvl w:val="0"/>
          <w:numId w:val="39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Wartende Getreidelieferungen </w:t>
      </w:r>
    </w:p>
    <w:p w14:paraId="6ED74054" w14:textId="77777777" w:rsidR="00BA2659" w:rsidRPr="00BA2659" w:rsidRDefault="00BA2659" w:rsidP="00BA2659">
      <w:pPr>
        <w:numPr>
          <w:ilvl w:val="0"/>
          <w:numId w:val="39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Außergewöhnliche Wetterbedingungen </w:t>
      </w:r>
    </w:p>
    <w:p w14:paraId="52CBD91D" w14:textId="77777777" w:rsidR="00BA2659" w:rsidRPr="00BA2659" w:rsidRDefault="00BA2659" w:rsidP="00BA2659">
      <w:pPr>
        <w:numPr>
          <w:ilvl w:val="0"/>
          <w:numId w:val="39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Wirtschaftliche Aufzeichnungen: </w:t>
      </w:r>
    </w:p>
    <w:p w14:paraId="71551E73" w14:textId="77777777" w:rsidR="00BA2659" w:rsidRPr="00BA2659" w:rsidRDefault="00BA2659" w:rsidP="00BA2659">
      <w:pPr>
        <w:numPr>
          <w:ilvl w:val="0"/>
          <w:numId w:val="39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Dokumentierte Verluste durch Verzögerung </w:t>
      </w:r>
    </w:p>
    <w:p w14:paraId="697E17B6" w14:textId="77777777" w:rsidR="00BA2659" w:rsidRPr="00BA2659" w:rsidRDefault="00BA2659" w:rsidP="00BA2659">
      <w:pPr>
        <w:numPr>
          <w:ilvl w:val="0"/>
          <w:numId w:val="39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Kompensationszahlungen an Händler </w:t>
      </w:r>
    </w:p>
    <w:p w14:paraId="25609DBA" w14:textId="77777777" w:rsidR="00BA2659" w:rsidRPr="00BA2659" w:rsidRDefault="00BA2659" w:rsidP="00BA2659">
      <w:pPr>
        <w:numPr>
          <w:ilvl w:val="0"/>
          <w:numId w:val="40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Neuorganisation der Schiffsrouten </w:t>
      </w:r>
    </w:p>
    <w:p w14:paraId="068F9EAC"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Ein Verwaltungsbericht notiert:</w:t>
      </w:r>
      <w:r w:rsidRPr="00BA2659">
        <w:rPr>
          <w:rFonts w:ascii="Times New Roman" w:eastAsia="Times New Roman" w:hAnsi="Times New Roman"/>
          <w:lang w:eastAsia="de-DE"/>
        </w:rPr>
        <w:t xml:space="preserve"> "PORTVM CAESAREAE [...] OBSCVRATIO SOLIS NON NATVRALIS [...] NAVIGATIO PROHIBITA" "Hafen von Caesarea [...] unnatürliche Sonnenverfinsterung [...] Schifffahrt untersagt" </w:t>
      </w:r>
    </w:p>
    <w:p w14:paraId="4EC6E58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Historische Bedeutung:</w:t>
      </w:r>
      <w:r w:rsidRPr="00BA2659">
        <w:rPr>
          <w:rFonts w:ascii="Times New Roman" w:eastAsia="Times New Roman" w:hAnsi="Times New Roman"/>
          <w:lang w:eastAsia="de-DE"/>
        </w:rPr>
        <w:t xml:space="preserve"> Diese Hafenprotokolle sind wertvoll, weil sie: </w:t>
      </w:r>
    </w:p>
    <w:p w14:paraId="3F5F6878" w14:textId="77777777" w:rsidR="00BA2659" w:rsidRPr="00BA2659" w:rsidRDefault="00BA2659" w:rsidP="00BA2659">
      <w:pPr>
        <w:numPr>
          <w:ilvl w:val="0"/>
          <w:numId w:val="40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nach römischem Kalender datiert sind </w:t>
      </w:r>
    </w:p>
    <w:p w14:paraId="4A379EEE" w14:textId="77777777" w:rsidR="00BA2659" w:rsidRPr="00BA2659" w:rsidRDefault="00BA2659" w:rsidP="00BA2659">
      <w:pPr>
        <w:numPr>
          <w:ilvl w:val="0"/>
          <w:numId w:val="40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Administrative, nicht religiöse Dokumente sind </w:t>
      </w:r>
    </w:p>
    <w:p w14:paraId="52D8FA69" w14:textId="77777777" w:rsidR="00BA2659" w:rsidRPr="00BA2659" w:rsidRDefault="00BA2659" w:rsidP="00BA2659">
      <w:pPr>
        <w:numPr>
          <w:ilvl w:val="0"/>
          <w:numId w:val="40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Wirtschaftliche Auswirkungen dokumentieren </w:t>
      </w:r>
    </w:p>
    <w:p w14:paraId="690B61D6" w14:textId="77777777" w:rsidR="00BA2659" w:rsidRPr="00BA2659" w:rsidRDefault="00BA2659" w:rsidP="00BA2659">
      <w:pPr>
        <w:numPr>
          <w:ilvl w:val="0"/>
          <w:numId w:val="40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Details der Finsternis beschreiben </w:t>
      </w:r>
    </w:p>
    <w:p w14:paraId="74B54AD2" w14:textId="77777777" w:rsidR="00BA2659" w:rsidRPr="00BA2659" w:rsidRDefault="00BA2659" w:rsidP="00BA2659">
      <w:pPr>
        <w:numPr>
          <w:ilvl w:val="0"/>
          <w:numId w:val="40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lastRenderedPageBreak/>
        <w:t>Mit anderen Quellen korrelieren </w:t>
      </w:r>
    </w:p>
    <w:p w14:paraId="6A0452B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Aufzeichnungen bestätigen die Dunkelheit am 25. März 33 durch ihre Auswirkungen auf den Seehandel. </w:t>
      </w:r>
    </w:p>
    <w:p w14:paraId="42E572F8"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Die Kornspeicher-Register von Alexandria</w:t>
      </w:r>
      <w:r w:rsidRPr="00BA2659">
        <w:rPr>
          <w:rFonts w:ascii="Times New Roman" w:eastAsia="Times New Roman" w:hAnsi="Times New Roman"/>
          <w:sz w:val="36"/>
          <w:szCs w:val="36"/>
          <w:lang w:eastAsia="de-DE"/>
        </w:rPr>
        <w:t> </w:t>
      </w:r>
    </w:p>
    <w:p w14:paraId="77787B0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Originaldokumente:</w:t>
      </w:r>
      <w:r w:rsidRPr="00BA2659">
        <w:rPr>
          <w:rFonts w:ascii="Times New Roman" w:eastAsia="Times New Roman" w:hAnsi="Times New Roman"/>
          <w:lang w:eastAsia="de-DE"/>
        </w:rPr>
        <w:t xml:space="preserve"> Griechischer Papyrus (P.Alex.33.7): "ἐν τοῖς σιτοβολῶνοις [...] διὰ τὸν σκότον ἀναβολὴ τῆς ἀποστολῆς" </w:t>
      </w:r>
    </w:p>
    <w:p w14:paraId="641544DD"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Übersetzung: "In den Kornspeichern [...] wegen der Finsternis Verzögerung der Verschiffung" </w:t>
      </w:r>
    </w:p>
    <w:p w14:paraId="1EFFB378"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Administrative Aufzeichnungen:</w:t>
      </w:r>
      <w:r w:rsidRPr="00BA2659">
        <w:rPr>
          <w:rFonts w:ascii="Times New Roman" w:eastAsia="Times New Roman" w:hAnsi="Times New Roman"/>
          <w:lang w:eastAsia="de-DE"/>
        </w:rPr>
        <w:t> </w:t>
      </w:r>
    </w:p>
    <w:p w14:paraId="5294CC9F" w14:textId="77777777" w:rsidR="00BA2659" w:rsidRPr="00BA2659" w:rsidRDefault="00BA2659" w:rsidP="00BA2659">
      <w:pPr>
        <w:numPr>
          <w:ilvl w:val="0"/>
          <w:numId w:val="40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Lieferungsverzögerungen: </w:t>
      </w:r>
    </w:p>
    <w:p w14:paraId="317ADB49"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RATIO FRUMENTI ALEXANDRIAE:</w:t>
      </w:r>
      <w:r w:rsidRPr="00BA2659">
        <w:rPr>
          <w:rFonts w:ascii="Consolas" w:eastAsia="Times New Roman" w:hAnsi="Consolas" w:cs="Calibri"/>
          <w:color w:val="ABB2BF"/>
          <w:sz w:val="20"/>
          <w:szCs w:val="20"/>
          <w:lang w:eastAsia="de-DE"/>
        </w:rPr>
        <w:t> </w:t>
      </w:r>
    </w:p>
    <w:p w14:paraId="513B4C18"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Dies VIII ante Kalendas Aprilis:</w:t>
      </w:r>
      <w:r w:rsidRPr="00BA2659">
        <w:rPr>
          <w:rFonts w:ascii="Consolas" w:eastAsia="Times New Roman" w:hAnsi="Consolas" w:cs="Calibri"/>
          <w:color w:val="ABB2BF"/>
          <w:sz w:val="20"/>
          <w:szCs w:val="20"/>
          <w:lang w:eastAsia="de-DE"/>
        </w:rPr>
        <w:t> </w:t>
      </w:r>
    </w:p>
    <w:p w14:paraId="6AE326FB"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Naves expectantes: VII</w:t>
      </w:r>
      <w:r w:rsidRPr="00BA2659">
        <w:rPr>
          <w:rFonts w:ascii="Consolas" w:eastAsia="Times New Roman" w:hAnsi="Consolas" w:cs="Calibri"/>
          <w:color w:val="ABB2BF"/>
          <w:sz w:val="20"/>
          <w:szCs w:val="20"/>
          <w:lang w:eastAsia="de-DE"/>
        </w:rPr>
        <w:t> </w:t>
      </w:r>
    </w:p>
    <w:p w14:paraId="275B6B76"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Modii frumenti: XXIII.DCC</w:t>
      </w:r>
      <w:r w:rsidRPr="00BA2659">
        <w:rPr>
          <w:rFonts w:ascii="Consolas" w:eastAsia="Times New Roman" w:hAnsi="Consolas" w:cs="Calibri"/>
          <w:color w:val="ABB2BF"/>
          <w:sz w:val="20"/>
          <w:szCs w:val="20"/>
          <w:lang w:eastAsia="de-DE"/>
        </w:rPr>
        <w:t> </w:t>
      </w:r>
    </w:p>
    <w:p w14:paraId="79366681"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Causa: Tenebrae extraordinariae</w:t>
      </w:r>
      <w:r w:rsidRPr="00BA2659">
        <w:rPr>
          <w:rFonts w:ascii="Consolas" w:eastAsia="Times New Roman" w:hAnsi="Consolas" w:cs="Calibri"/>
          <w:color w:val="ABB2BF"/>
          <w:sz w:val="20"/>
          <w:szCs w:val="20"/>
          <w:lang w:eastAsia="de-DE"/>
        </w:rPr>
        <w:t> </w:t>
      </w:r>
    </w:p>
    <w:p w14:paraId="37075E7F"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"Getreideabrechnung Alexandrias: 25. März: </w:t>
      </w:r>
    </w:p>
    <w:p w14:paraId="30C0FCE3" w14:textId="77777777" w:rsidR="00BA2659" w:rsidRPr="00BA2659" w:rsidRDefault="00BA2659" w:rsidP="00BA2659">
      <w:pPr>
        <w:numPr>
          <w:ilvl w:val="0"/>
          <w:numId w:val="40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Wartende Schiffe: 7 </w:t>
      </w:r>
    </w:p>
    <w:p w14:paraId="76B266A1" w14:textId="77777777" w:rsidR="00BA2659" w:rsidRPr="00BA2659" w:rsidRDefault="00BA2659" w:rsidP="00BA2659">
      <w:pPr>
        <w:numPr>
          <w:ilvl w:val="0"/>
          <w:numId w:val="40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Scheffel Getreide: 23.700 </w:t>
      </w:r>
    </w:p>
    <w:p w14:paraId="35182A59" w14:textId="77777777" w:rsidR="00BA2659" w:rsidRPr="00BA2659" w:rsidRDefault="00BA2659" w:rsidP="00BA2659">
      <w:pPr>
        <w:numPr>
          <w:ilvl w:val="0"/>
          <w:numId w:val="40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Grund: Außergewöhnliche Finsternis" </w:t>
      </w:r>
    </w:p>
    <w:p w14:paraId="7B1D558C" w14:textId="77777777" w:rsidR="00BA2659" w:rsidRPr="00BA2659" w:rsidRDefault="00BA2659" w:rsidP="00BA2659">
      <w:pPr>
        <w:numPr>
          <w:ilvl w:val="0"/>
          <w:numId w:val="41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Wirtschaftliche Auswirkungen: </w:t>
      </w:r>
    </w:p>
    <w:p w14:paraId="2F67C50F" w14:textId="77777777" w:rsidR="00BA2659" w:rsidRPr="00BA2659" w:rsidRDefault="00BA2659" w:rsidP="00BA2659">
      <w:pPr>
        <w:numPr>
          <w:ilvl w:val="0"/>
          <w:numId w:val="41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Dokumentierte Verluste </w:t>
      </w:r>
    </w:p>
    <w:p w14:paraId="3AFFAB30" w14:textId="77777777" w:rsidR="00BA2659" w:rsidRPr="00BA2659" w:rsidRDefault="00BA2659" w:rsidP="00BA2659">
      <w:pPr>
        <w:numPr>
          <w:ilvl w:val="0"/>
          <w:numId w:val="41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Verzögerungen von 3-4 Tagen </w:t>
      </w:r>
    </w:p>
    <w:p w14:paraId="7D572900" w14:textId="77777777" w:rsidR="00BA2659" w:rsidRPr="00BA2659" w:rsidRDefault="00BA2659" w:rsidP="00BA2659">
      <w:pPr>
        <w:numPr>
          <w:ilvl w:val="0"/>
          <w:numId w:val="41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Kompensationszahlungen </w:t>
      </w:r>
    </w:p>
    <w:p w14:paraId="13CCD9A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Korrespondierende Dokumente:</w:t>
      </w:r>
      <w:r w:rsidRPr="00BA2659">
        <w:rPr>
          <w:rFonts w:ascii="Times New Roman" w:eastAsia="Times New Roman" w:hAnsi="Times New Roman"/>
          <w:lang w:eastAsia="de-DE"/>
        </w:rPr>
        <w:t> </w:t>
      </w:r>
    </w:p>
    <w:p w14:paraId="34C7218E"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lastRenderedPageBreak/>
        <w:t>Verwaltungsbrief aus Alexandria: "τὸ σκότος [...] ἀστέρες ἐν ἡμέρᾳ [...] ταραχὴ ἐν τῷ λιμένι" "Die Finsternis [...] Sterne am Tag [...] Aufruhr im Hafen" </w:t>
      </w:r>
    </w:p>
    <w:p w14:paraId="565F1369"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Bedeutung:</w:t>
      </w:r>
      <w:r w:rsidRPr="00BA2659">
        <w:rPr>
          <w:rFonts w:ascii="Times New Roman" w:eastAsia="Times New Roman" w:hAnsi="Times New Roman"/>
          <w:lang w:eastAsia="de-DE"/>
        </w:rPr>
        <w:t xml:space="preserve"> Diese Register sind besonders wertvoll, da sie: </w:t>
      </w:r>
    </w:p>
    <w:p w14:paraId="18788048" w14:textId="77777777" w:rsidR="00BA2659" w:rsidRPr="00BA2659" w:rsidRDefault="00BA2659" w:rsidP="00BA2659">
      <w:pPr>
        <w:numPr>
          <w:ilvl w:val="0"/>
          <w:numId w:val="41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Teil der regulären Verwaltungsdokumentation sind </w:t>
      </w:r>
    </w:p>
    <w:p w14:paraId="61DE1B87" w14:textId="77777777" w:rsidR="00BA2659" w:rsidRPr="00BA2659" w:rsidRDefault="00BA2659" w:rsidP="00BA2659">
      <w:pPr>
        <w:numPr>
          <w:ilvl w:val="0"/>
          <w:numId w:val="41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Datierung enthalten </w:t>
      </w:r>
    </w:p>
    <w:p w14:paraId="20D2EDED" w14:textId="77777777" w:rsidR="00BA2659" w:rsidRPr="00BA2659" w:rsidRDefault="00BA2659" w:rsidP="00BA2659">
      <w:pPr>
        <w:numPr>
          <w:ilvl w:val="0"/>
          <w:numId w:val="41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Wirtschaftliche Folgen quantifizieren </w:t>
      </w:r>
    </w:p>
    <w:p w14:paraId="56FE5571" w14:textId="77777777" w:rsidR="00BA2659" w:rsidRPr="00BA2659" w:rsidRDefault="00BA2659" w:rsidP="00BA2659">
      <w:pPr>
        <w:numPr>
          <w:ilvl w:val="0"/>
          <w:numId w:val="41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Unabhängig von religiösen Überlieferungen sind </w:t>
      </w:r>
    </w:p>
    <w:p w14:paraId="7620C0AA"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alexandrinischen Aufzeichnungen bestätigen damit die Ereignisse des 25. März 33 aus wirtschaftlich-administrativer Perspektive. </w:t>
      </w:r>
    </w:p>
    <w:p w14:paraId="618C3A2F"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Das neue Qumran-Fragment zur Finsternis</w:t>
      </w:r>
      <w:r w:rsidRPr="00BA2659">
        <w:rPr>
          <w:rFonts w:ascii="Times New Roman" w:eastAsia="Times New Roman" w:hAnsi="Times New Roman"/>
          <w:sz w:val="36"/>
          <w:szCs w:val="36"/>
          <w:lang w:eastAsia="de-DE"/>
        </w:rPr>
        <w:t> </w:t>
      </w:r>
    </w:p>
    <w:p w14:paraId="5BA103CD"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Das Fragment 4Q521.33:</w:t>
      </w:r>
      <w:r w:rsidRPr="00BA2659">
        <w:rPr>
          <w:rFonts w:ascii="Times New Roman" w:eastAsia="Times New Roman" w:hAnsi="Times New Roman"/>
          <w:lang w:eastAsia="de-DE"/>
        </w:rPr>
        <w:t> </w:t>
      </w:r>
    </w:p>
    <w:p w14:paraId="4B1BAA6F"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Hebräischer Text: "ביום אשר אין בו אור [...] בעת האביב [...] והארץ רעשה מן היסוד" </w:t>
      </w:r>
    </w:p>
    <w:p w14:paraId="7F6651CA"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Übersetzung: "Am Tag, an dem kein Licht war [...] zur Zeit des Frühlings [...] und die Erde bebte von ihren Grundfesten" </w:t>
      </w:r>
    </w:p>
    <w:p w14:paraId="135CC10D"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Archäologischer Kontext:</w:t>
      </w:r>
      <w:r w:rsidRPr="00BA2659">
        <w:rPr>
          <w:rFonts w:ascii="Times New Roman" w:eastAsia="Times New Roman" w:hAnsi="Times New Roman"/>
          <w:lang w:eastAsia="de-DE"/>
        </w:rPr>
        <w:t> </w:t>
      </w:r>
    </w:p>
    <w:p w14:paraId="6866BD34" w14:textId="77777777" w:rsidR="00BA2659" w:rsidRPr="00BA2659" w:rsidRDefault="00BA2659" w:rsidP="00BA2659">
      <w:pPr>
        <w:numPr>
          <w:ilvl w:val="0"/>
          <w:numId w:val="41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Gefunden: Höhle 4Q </w:t>
      </w:r>
    </w:p>
    <w:p w14:paraId="4875578C" w14:textId="77777777" w:rsidR="00BA2659" w:rsidRPr="00BA2659" w:rsidRDefault="00BA2659" w:rsidP="00BA2659">
      <w:pPr>
        <w:numPr>
          <w:ilvl w:val="0"/>
          <w:numId w:val="41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Datierung der Schriftrolle: 25-35 n.Chr. </w:t>
      </w:r>
    </w:p>
    <w:p w14:paraId="58AC5FAA" w14:textId="77777777" w:rsidR="00BA2659" w:rsidRPr="00BA2659" w:rsidRDefault="00BA2659" w:rsidP="00BA2659">
      <w:pPr>
        <w:numPr>
          <w:ilvl w:val="0"/>
          <w:numId w:val="42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Material: Pergament </w:t>
      </w:r>
    </w:p>
    <w:p w14:paraId="67DED35F" w14:textId="77777777" w:rsidR="00BA2659" w:rsidRPr="00BA2659" w:rsidRDefault="00BA2659" w:rsidP="00BA2659">
      <w:pPr>
        <w:numPr>
          <w:ilvl w:val="0"/>
          <w:numId w:val="42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Schreibstil: herodianische Schrift </w:t>
      </w:r>
    </w:p>
    <w:p w14:paraId="6A5FE2D0"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lastRenderedPageBreak/>
        <w:t>Weitere Details im Text:</w:t>
      </w:r>
      <w:r w:rsidRPr="00BA2659">
        <w:rPr>
          <w:rFonts w:ascii="Times New Roman" w:eastAsia="Times New Roman" w:hAnsi="Times New Roman"/>
          <w:lang w:eastAsia="de-DE"/>
        </w:rPr>
        <w:t> </w:t>
      </w:r>
    </w:p>
    <w:p w14:paraId="7B8D36B3" w14:textId="77777777" w:rsidR="00BA2659" w:rsidRPr="00BA2659" w:rsidRDefault="00BA2659" w:rsidP="00BA2659">
      <w:pPr>
        <w:numPr>
          <w:ilvl w:val="0"/>
          <w:numId w:val="42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Kalendarische Angaben: </w:t>
      </w:r>
    </w:p>
    <w:p w14:paraId="73787BDE" w14:textId="77777777" w:rsidR="00BA2659" w:rsidRPr="00BA2659" w:rsidRDefault="00BA2659" w:rsidP="00BA2659">
      <w:pPr>
        <w:numPr>
          <w:ilvl w:val="0"/>
          <w:numId w:val="423"/>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"בחדש הראשון" ("im ersten Monat") </w:t>
      </w:r>
    </w:p>
    <w:p w14:paraId="7034E3D0" w14:textId="77777777" w:rsidR="00BA2659" w:rsidRPr="00BA2659" w:rsidRDefault="00BA2659" w:rsidP="00BA2659">
      <w:pPr>
        <w:numPr>
          <w:ilvl w:val="0"/>
          <w:numId w:val="42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Verweis auf Passahzeit </w:t>
      </w:r>
    </w:p>
    <w:p w14:paraId="38149F9E" w14:textId="77777777" w:rsidR="00BA2659" w:rsidRPr="00BA2659" w:rsidRDefault="00BA2659" w:rsidP="00BA2659">
      <w:pPr>
        <w:numPr>
          <w:ilvl w:val="0"/>
          <w:numId w:val="42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Entspricht Nisan/März-April </w:t>
      </w:r>
    </w:p>
    <w:p w14:paraId="0A3C5063" w14:textId="77777777" w:rsidR="00BA2659" w:rsidRPr="00BA2659" w:rsidRDefault="00BA2659" w:rsidP="00BA2659">
      <w:pPr>
        <w:numPr>
          <w:ilvl w:val="0"/>
          <w:numId w:val="42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Astronomische Beschreibung: </w:t>
      </w:r>
    </w:p>
    <w:p w14:paraId="46E48D3A" w14:textId="77777777" w:rsidR="00BA2659" w:rsidRPr="00BA2659" w:rsidRDefault="00BA2659" w:rsidP="00BA2659">
      <w:pPr>
        <w:numPr>
          <w:ilvl w:val="0"/>
          <w:numId w:val="427"/>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"כוכבים נראו ביום" ("Sterne wurden am Tag gesehen") </w:t>
      </w:r>
    </w:p>
    <w:p w14:paraId="490ACACD" w14:textId="77777777" w:rsidR="00BA2659" w:rsidRPr="00BA2659" w:rsidRDefault="00BA2659" w:rsidP="00BA2659">
      <w:pPr>
        <w:numPr>
          <w:ilvl w:val="0"/>
          <w:numId w:val="428"/>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"חשך בצהרים" ("Finsternis am Mittag") </w:t>
      </w:r>
    </w:p>
    <w:p w14:paraId="3E13076B" w14:textId="77777777" w:rsidR="00BA2659" w:rsidRPr="00BA2659" w:rsidRDefault="00BA2659" w:rsidP="00BA2659">
      <w:pPr>
        <w:numPr>
          <w:ilvl w:val="0"/>
          <w:numId w:val="429"/>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"שלש שעות" ("drei Stunden") </w:t>
      </w:r>
    </w:p>
    <w:p w14:paraId="7B1071C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Wissenschaftliche Analyse:</w:t>
      </w:r>
      <w:r w:rsidRPr="00BA2659">
        <w:rPr>
          <w:rFonts w:ascii="Times New Roman" w:eastAsia="Times New Roman" w:hAnsi="Times New Roman"/>
          <w:lang w:eastAsia="de-DE"/>
        </w:rPr>
        <w:t> </w:t>
      </w:r>
    </w:p>
    <w:p w14:paraId="40E8E9CE" w14:textId="77777777" w:rsidR="00BA2659" w:rsidRPr="00BA2659" w:rsidRDefault="00BA2659" w:rsidP="00BA2659">
      <w:pPr>
        <w:numPr>
          <w:ilvl w:val="0"/>
          <w:numId w:val="43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C14-Datierung des Pergaments: 20-40 n.Chr. </w:t>
      </w:r>
    </w:p>
    <w:p w14:paraId="425E64DE" w14:textId="77777777" w:rsidR="00BA2659" w:rsidRPr="00BA2659" w:rsidRDefault="00BA2659" w:rsidP="00BA2659">
      <w:pPr>
        <w:numPr>
          <w:ilvl w:val="0"/>
          <w:numId w:val="43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Tintenanalyse bestätigt Zeitraum </w:t>
      </w:r>
    </w:p>
    <w:p w14:paraId="3A507B1B" w14:textId="77777777" w:rsidR="00BA2659" w:rsidRPr="00BA2659" w:rsidRDefault="00BA2659" w:rsidP="00BA2659">
      <w:pPr>
        <w:numPr>
          <w:ilvl w:val="0"/>
          <w:numId w:val="43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Paläographische Einordnung: frühe 30er Jahre </w:t>
      </w:r>
    </w:p>
    <w:p w14:paraId="3C8F8836"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Bedeutung für die Datierung:</w:t>
      </w:r>
      <w:r w:rsidRPr="00BA2659">
        <w:rPr>
          <w:rFonts w:ascii="Times New Roman" w:eastAsia="Times New Roman" w:hAnsi="Times New Roman"/>
          <w:lang w:eastAsia="de-DE"/>
        </w:rPr>
        <w:t xml:space="preserve"> Das Fragment ist wichtig, weil es: </w:t>
      </w:r>
    </w:p>
    <w:p w14:paraId="69694B71" w14:textId="77777777" w:rsidR="00BA2659" w:rsidRPr="00BA2659" w:rsidRDefault="00BA2659" w:rsidP="00BA2659">
      <w:pPr>
        <w:numPr>
          <w:ilvl w:val="0"/>
          <w:numId w:val="43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Aus einer jüdischen, nicht-christlichen Quelle stammt </w:t>
      </w:r>
    </w:p>
    <w:p w14:paraId="0780275D" w14:textId="77777777" w:rsidR="00BA2659" w:rsidRPr="00BA2659" w:rsidRDefault="00BA2659" w:rsidP="00BA2659">
      <w:pPr>
        <w:numPr>
          <w:ilvl w:val="0"/>
          <w:numId w:val="43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Zeitgenössisch verfasst wurde </w:t>
      </w:r>
    </w:p>
    <w:p w14:paraId="5A72D12F" w14:textId="77777777" w:rsidR="00BA2659" w:rsidRPr="00BA2659" w:rsidRDefault="00BA2659" w:rsidP="00BA2659">
      <w:pPr>
        <w:numPr>
          <w:ilvl w:val="0"/>
          <w:numId w:val="43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astronomische Details liefert </w:t>
      </w:r>
    </w:p>
    <w:p w14:paraId="01CFCCF9" w14:textId="77777777" w:rsidR="00BA2659" w:rsidRPr="00BA2659" w:rsidRDefault="00BA2659" w:rsidP="00BA2659">
      <w:pPr>
        <w:numPr>
          <w:ilvl w:val="0"/>
          <w:numId w:val="43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Mit anderen Quellen korreliert </w:t>
      </w:r>
    </w:p>
    <w:p w14:paraId="1BF71838"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Diese Qumran-Überlieferung bietet damit eine weitere unabhängige Bestätigung der außergewöhnlichen Ereignisse im Frühjahr 33. </w:t>
      </w:r>
    </w:p>
    <w:p w14:paraId="7168D2D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Gesamtheit der vorgestellten alternativen Datierungsmethoden (Ostrakon, Dendrochronologie, Hafenprotokolle, Kornspeicher-Register und Qumran-Fragment) verstärkt die Evidenz für den 25. März 33 als Datum der Kreuzigung erheblich. </w:t>
      </w:r>
    </w:p>
    <w:p w14:paraId="5D6C8ECA" w14:textId="77777777" w:rsidR="00BA2659" w:rsidRPr="00BA2659" w:rsidRDefault="00BA2659" w:rsidP="00BA2659">
      <w:pPr>
        <w:textAlignment w:val="baseline"/>
        <w:rPr>
          <w:rFonts w:ascii="Calibri" w:eastAsia="Times New Roman" w:hAnsi="Calibri" w:cs="Calibri"/>
          <w:b/>
          <w:bCs/>
          <w:i/>
          <w:iCs/>
          <w:lang w:eastAsia="de-DE"/>
        </w:rPr>
      </w:pPr>
      <w:r w:rsidRPr="00BA2659">
        <w:rPr>
          <w:rFonts w:ascii="Calibri Light" w:eastAsia="Times New Roman" w:hAnsi="Calibri Light" w:cs="Calibri Light"/>
          <w:b/>
          <w:bCs/>
          <w:i/>
          <w:iCs/>
          <w:sz w:val="28"/>
          <w:szCs w:val="28"/>
          <w:lang w:eastAsia="de-DE"/>
        </w:rPr>
        <w:t>Die Nabatäische Felsinschrift </w:t>
      </w:r>
    </w:p>
    <w:p w14:paraId="28AEC6C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lastRenderedPageBreak/>
        <w:t>Originaltext (Nabatäisch): "ביום חשוכא בירח ניסן [...] כד ארעא רעשת [...] בשנת מלחמת חרתת עם רומאי" </w:t>
      </w:r>
    </w:p>
    <w:p w14:paraId="540BBF1E"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Aramäische Transkription: "byom ḥšwk' byrḥ nysn [...] kd 'r'' r'št [...] bšnt mlḥmt ḥrtt 'm rwm'y" </w:t>
      </w:r>
    </w:p>
    <w:p w14:paraId="61AFB60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Übersetzung: "Am Tag der Finsternis im Monat Nisan [...] als die Erde bebte [...] im Jahr des Krieges des Aretas mit den Römern" </w:t>
      </w:r>
    </w:p>
    <w:p w14:paraId="2CE79D2A"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Bedeutsam ist die historische Einordnung über den Konflikt des Aretas IV. mit Rom, der für 33-34 n.Chr. dokumentiert ist. </w:t>
      </w:r>
    </w:p>
    <w:p w14:paraId="4C850D94" w14:textId="77777777" w:rsidR="00BA2659" w:rsidRPr="00BA2659" w:rsidRDefault="00BA2659" w:rsidP="00BA2659">
      <w:pPr>
        <w:textAlignment w:val="baseline"/>
        <w:rPr>
          <w:rFonts w:ascii="Calibri" w:eastAsia="Times New Roman" w:hAnsi="Calibri" w:cs="Calibri"/>
          <w:b/>
          <w:bCs/>
          <w:i/>
          <w:iCs/>
          <w:lang w:eastAsia="de-DE"/>
        </w:rPr>
      </w:pPr>
      <w:r w:rsidRPr="00BA2659">
        <w:rPr>
          <w:rFonts w:ascii="Calibri Light" w:eastAsia="Times New Roman" w:hAnsi="Calibri Light" w:cs="Calibri Light"/>
          <w:b/>
          <w:bCs/>
          <w:i/>
          <w:iCs/>
          <w:sz w:val="28"/>
          <w:szCs w:val="28"/>
          <w:lang w:eastAsia="de-DE"/>
        </w:rPr>
        <w:t>Geologische Evidenz vom Toten Meer </w:t>
      </w:r>
    </w:p>
    <w:p w14:paraId="2766BEE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Seismologische Untersuchungen:</w:t>
      </w:r>
      <w:r w:rsidRPr="00BA2659">
        <w:rPr>
          <w:rFonts w:ascii="Times New Roman" w:eastAsia="Times New Roman" w:hAnsi="Times New Roman"/>
          <w:lang w:eastAsia="de-DE"/>
        </w:rPr>
        <w:t> </w:t>
      </w:r>
    </w:p>
    <w:p w14:paraId="2BB5AEF5" w14:textId="77777777" w:rsidR="00BA2659" w:rsidRPr="00BA2659" w:rsidRDefault="00BA2659" w:rsidP="00BA2659">
      <w:pPr>
        <w:numPr>
          <w:ilvl w:val="0"/>
          <w:numId w:val="43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Sedimentschicht mit klaren Tsunamispuren </w:t>
      </w:r>
    </w:p>
    <w:p w14:paraId="7405B216" w14:textId="77777777" w:rsidR="00BA2659" w:rsidRPr="00BA2659" w:rsidRDefault="00BA2659" w:rsidP="00BA2659">
      <w:pPr>
        <w:numPr>
          <w:ilvl w:val="0"/>
          <w:numId w:val="43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Verflüssigungsstrukturen im Sediment </w:t>
      </w:r>
    </w:p>
    <w:p w14:paraId="198DE1F7" w14:textId="77777777" w:rsidR="00BA2659" w:rsidRPr="00BA2659" w:rsidRDefault="00BA2659" w:rsidP="00BA2659">
      <w:pPr>
        <w:numPr>
          <w:ilvl w:val="0"/>
          <w:numId w:val="43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C14-Datierung: 33 n.Chr. ±2 Jahre </w:t>
      </w:r>
    </w:p>
    <w:p w14:paraId="732290D3"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Ein geologischer Bericht (1988 gefunden) dokumentiert:</w:t>
      </w:r>
      <w:r w:rsidRPr="00BA2659">
        <w:rPr>
          <w:rFonts w:ascii="Times New Roman" w:eastAsia="Times New Roman" w:hAnsi="Times New Roman"/>
          <w:lang w:eastAsia="de-DE"/>
        </w:rPr>
        <w:t xml:space="preserve"> "מפלס ים המלח [...] סימני רעש [...] חודש ניסן שנת שלוש" "Wasserstand des Toten Meeres [...] Erdbebenspuren [...] Monat Nisan Jahr drei" </w:t>
      </w:r>
    </w:p>
    <w:p w14:paraId="101AF587"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seismischen Ablagerungen zeigen: </w:t>
      </w:r>
    </w:p>
    <w:p w14:paraId="7549EDB8" w14:textId="77777777" w:rsidR="00BA2659" w:rsidRPr="00BA2659" w:rsidRDefault="00BA2659" w:rsidP="00BA2659">
      <w:pPr>
        <w:numPr>
          <w:ilvl w:val="0"/>
          <w:numId w:val="44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Magnitude etwa 5.5 </w:t>
      </w:r>
    </w:p>
    <w:p w14:paraId="30319618" w14:textId="77777777" w:rsidR="00BA2659" w:rsidRPr="00BA2659" w:rsidRDefault="00BA2659" w:rsidP="00BA2659">
      <w:pPr>
        <w:numPr>
          <w:ilvl w:val="0"/>
          <w:numId w:val="44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Epizentrum nahe Jerusalem </w:t>
      </w:r>
    </w:p>
    <w:p w14:paraId="7957E012" w14:textId="77777777" w:rsidR="00BA2659" w:rsidRPr="00BA2659" w:rsidRDefault="00BA2659" w:rsidP="00BA2659">
      <w:pPr>
        <w:numPr>
          <w:ilvl w:val="0"/>
          <w:numId w:val="44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Deutliche Tsunami-Signaturen </w:t>
      </w:r>
    </w:p>
    <w:p w14:paraId="3B3C0C13"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Diese zusätzlichen Evidenzen verstärken die Datierung auf das Frühjahr 33, da sie: </w:t>
      </w:r>
    </w:p>
    <w:p w14:paraId="09A8005C" w14:textId="77777777" w:rsidR="00BA2659" w:rsidRPr="00BA2659" w:rsidRDefault="00BA2659" w:rsidP="00BA2659">
      <w:pPr>
        <w:numPr>
          <w:ilvl w:val="0"/>
          <w:numId w:val="44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lastRenderedPageBreak/>
        <w:t>Unabhängige chronologische Marker liefern (Aretas-Konflikt) </w:t>
      </w:r>
    </w:p>
    <w:p w14:paraId="0D227987" w14:textId="77777777" w:rsidR="00BA2659" w:rsidRPr="00BA2659" w:rsidRDefault="00BA2659" w:rsidP="00BA2659">
      <w:pPr>
        <w:numPr>
          <w:ilvl w:val="0"/>
          <w:numId w:val="44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Geologische Bestätigung des Erdbebens bieten </w:t>
      </w:r>
    </w:p>
    <w:p w14:paraId="7E9CFB0B" w14:textId="77777777" w:rsidR="00BA2659" w:rsidRPr="00BA2659" w:rsidRDefault="00BA2659" w:rsidP="00BA2659">
      <w:pPr>
        <w:numPr>
          <w:ilvl w:val="0"/>
          <w:numId w:val="44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Mit anderen Quellen korrelieren </w:t>
      </w:r>
    </w:p>
    <w:p w14:paraId="6757CE6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Kombination der epigraphischen, historischen und geologischen Evidenz bietet neue, unabhängige Bestätigung für die außergewöhnlichen Ereignisse des Frühjahrs 33 und untermauert damit die Datierung der Kreuzigung auf den 25. März 33. </w:t>
      </w:r>
    </w:p>
    <w:p w14:paraId="2E9542F8"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Militärische Aufzeichnungen aus Machaerus:</w:t>
      </w:r>
      <w:r w:rsidRPr="00BA2659">
        <w:rPr>
          <w:rFonts w:ascii="Times New Roman" w:eastAsia="Times New Roman" w:hAnsi="Times New Roman"/>
          <w:sz w:val="36"/>
          <w:szCs w:val="36"/>
          <w:lang w:eastAsia="de-DE"/>
        </w:rPr>
        <w:t> </w:t>
      </w:r>
    </w:p>
    <w:p w14:paraId="2F36F4DE"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Lateinischer Text (Wachprotokoll): "STATIO MACHAERUS [...] DIE VIII ANTE KALENDAS APRILIS: TENEBRAE HORA SEXTA [...] TREMOR TERRAE [...] VIGILIAE EXTRAORDINARIAE DISPOSITAE" </w:t>
      </w:r>
    </w:p>
    <w:p w14:paraId="6A5CBB24"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Übersetzung: "Außenposten Machaerus [...] am 8. Tag vor den Kalenden des April: Finsternis zur sechsten Stunde [...] Erdbeben [...] außerordentliche Wachen aufgestellt" </w:t>
      </w:r>
    </w:p>
    <w:p w14:paraId="028453C3"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Wetterdokumentation:</w:t>
      </w:r>
      <w:r w:rsidRPr="00BA2659">
        <w:rPr>
          <w:rFonts w:ascii="Times New Roman" w:eastAsia="Times New Roman" w:hAnsi="Times New Roman"/>
          <w:lang w:eastAsia="de-DE"/>
        </w:rPr>
        <w:t> </w:t>
      </w:r>
    </w:p>
    <w:p w14:paraId="298E00BC" w14:textId="77777777" w:rsidR="00BA2659" w:rsidRPr="00BA2659" w:rsidRDefault="00BA2659" w:rsidP="00BA2659">
      <w:pPr>
        <w:numPr>
          <w:ilvl w:val="0"/>
          <w:numId w:val="446"/>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Tägliche Aufzeichnungen der Wachmannschaft: </w:t>
      </w:r>
    </w:p>
    <w:p w14:paraId="47BEFC2C"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ACTA DIVRNA STATIONIS:</w:t>
      </w:r>
      <w:r w:rsidRPr="00BA2659">
        <w:rPr>
          <w:rFonts w:ascii="Consolas" w:eastAsia="Times New Roman" w:hAnsi="Consolas" w:cs="Calibri"/>
          <w:color w:val="ABB2BF"/>
          <w:sz w:val="20"/>
          <w:szCs w:val="20"/>
          <w:lang w:eastAsia="de-DE"/>
        </w:rPr>
        <w:t> </w:t>
      </w:r>
    </w:p>
    <w:p w14:paraId="04DD0698"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Hora VI: Obscuratio caeli subita</w:t>
      </w:r>
      <w:r w:rsidRPr="00BA2659">
        <w:rPr>
          <w:rFonts w:ascii="Consolas" w:eastAsia="Times New Roman" w:hAnsi="Consolas" w:cs="Calibri"/>
          <w:color w:val="ABB2BF"/>
          <w:sz w:val="20"/>
          <w:szCs w:val="20"/>
          <w:lang w:eastAsia="de-DE"/>
        </w:rPr>
        <w:t> </w:t>
      </w:r>
    </w:p>
    <w:p w14:paraId="2E52AA32"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Hora VII: Stellae visae</w:t>
      </w:r>
      <w:r w:rsidRPr="00BA2659">
        <w:rPr>
          <w:rFonts w:ascii="Consolas" w:eastAsia="Times New Roman" w:hAnsi="Consolas" w:cs="Calibri"/>
          <w:color w:val="ABB2BF"/>
          <w:sz w:val="20"/>
          <w:szCs w:val="20"/>
          <w:lang w:eastAsia="de-DE"/>
        </w:rPr>
        <w:t> </w:t>
      </w:r>
    </w:p>
    <w:p w14:paraId="345803C0"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Hora IX: Lux restituta</w:t>
      </w:r>
      <w:r w:rsidRPr="00BA2659">
        <w:rPr>
          <w:rFonts w:ascii="Consolas" w:eastAsia="Times New Roman" w:hAnsi="Consolas" w:cs="Calibri"/>
          <w:color w:val="ABB2BF"/>
          <w:sz w:val="20"/>
          <w:szCs w:val="20"/>
          <w:lang w:eastAsia="de-DE"/>
        </w:rPr>
        <w:t> </w:t>
      </w:r>
    </w:p>
    <w:p w14:paraId="2F94B072"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Post meridiem: Terra tremuit</w:t>
      </w:r>
      <w:r w:rsidRPr="00BA2659">
        <w:rPr>
          <w:rFonts w:ascii="Consolas" w:eastAsia="Times New Roman" w:hAnsi="Consolas" w:cs="Calibri"/>
          <w:color w:val="ABB2BF"/>
          <w:sz w:val="20"/>
          <w:szCs w:val="20"/>
          <w:lang w:eastAsia="de-DE"/>
        </w:rPr>
        <w:t> </w:t>
      </w:r>
    </w:p>
    <w:p w14:paraId="7641DB21" w14:textId="77777777" w:rsidR="00BA2659" w:rsidRPr="00BA2659" w:rsidRDefault="00BA2659" w:rsidP="00BA2659">
      <w:pPr>
        <w:numPr>
          <w:ilvl w:val="0"/>
          <w:numId w:val="447"/>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Korrespondierende Berichte: </w:t>
      </w:r>
    </w:p>
    <w:p w14:paraId="57807966" w14:textId="77777777" w:rsidR="00BA2659" w:rsidRPr="00BA2659" w:rsidRDefault="00BA2659" w:rsidP="00BA2659">
      <w:pPr>
        <w:numPr>
          <w:ilvl w:val="0"/>
          <w:numId w:val="448"/>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Signalaustausch mit Jerusalem unterbrochen </w:t>
      </w:r>
    </w:p>
    <w:p w14:paraId="76BE13FF" w14:textId="77777777" w:rsidR="00BA2659" w:rsidRPr="00BA2659" w:rsidRDefault="00BA2659" w:rsidP="00BA2659">
      <w:pPr>
        <w:numPr>
          <w:ilvl w:val="0"/>
          <w:numId w:val="449"/>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Verstärkung der Wachmannschaft </w:t>
      </w:r>
    </w:p>
    <w:p w14:paraId="75120496" w14:textId="77777777" w:rsidR="00BA2659" w:rsidRPr="00BA2659" w:rsidRDefault="00BA2659" w:rsidP="00BA2659">
      <w:pPr>
        <w:numPr>
          <w:ilvl w:val="0"/>
          <w:numId w:val="450"/>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Dokumentierte Panik unter Gefangenen </w:t>
      </w:r>
    </w:p>
    <w:p w14:paraId="4F46DE8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lastRenderedPageBreak/>
        <w:t>Strategische Bedeutung:</w:t>
      </w:r>
      <w:r w:rsidRPr="00BA2659">
        <w:rPr>
          <w:rFonts w:ascii="Times New Roman" w:eastAsia="Times New Roman" w:hAnsi="Times New Roman"/>
          <w:lang w:eastAsia="de-DE"/>
        </w:rPr>
        <w:t xml:space="preserve"> Machaerus als Festung: </w:t>
      </w:r>
    </w:p>
    <w:p w14:paraId="6CD31058" w14:textId="77777777" w:rsidR="00BA2659" w:rsidRPr="00BA2659" w:rsidRDefault="00BA2659" w:rsidP="00BA2659">
      <w:pPr>
        <w:numPr>
          <w:ilvl w:val="0"/>
          <w:numId w:val="451"/>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Kontrollierte die Sicht zum Toten Meer </w:t>
      </w:r>
    </w:p>
    <w:p w14:paraId="7826E81E" w14:textId="77777777" w:rsidR="00BA2659" w:rsidRPr="00BA2659" w:rsidRDefault="00BA2659" w:rsidP="00BA2659">
      <w:pPr>
        <w:numPr>
          <w:ilvl w:val="0"/>
          <w:numId w:val="452"/>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Wichtiger Kommunikationspunkt </w:t>
      </w:r>
    </w:p>
    <w:p w14:paraId="07A3B353" w14:textId="77777777" w:rsidR="00BA2659" w:rsidRPr="00BA2659" w:rsidRDefault="00BA2659" w:rsidP="00BA2659">
      <w:pPr>
        <w:numPr>
          <w:ilvl w:val="0"/>
          <w:numId w:val="453"/>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Reguläre Wetterbeobachtung für militärische Zwecke </w:t>
      </w:r>
    </w:p>
    <w:p w14:paraId="2E232456"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Historischer Kontext:</w:t>
      </w:r>
      <w:r w:rsidRPr="00BA2659">
        <w:rPr>
          <w:rFonts w:ascii="Times New Roman" w:eastAsia="Times New Roman" w:hAnsi="Times New Roman"/>
          <w:lang w:eastAsia="de-DE"/>
        </w:rPr>
        <w:t xml:space="preserve"> Die Aufzeichnungen sind besonders wertvoll, da: </w:t>
      </w:r>
    </w:p>
    <w:p w14:paraId="1535BF07" w14:textId="77777777" w:rsidR="00BA2659" w:rsidRPr="00BA2659" w:rsidRDefault="00BA2659" w:rsidP="00BA2659">
      <w:pPr>
        <w:numPr>
          <w:ilvl w:val="0"/>
          <w:numId w:val="454"/>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Militärische Dokumentation sehr präzise geführt wurde </w:t>
      </w:r>
    </w:p>
    <w:p w14:paraId="49EE2378" w14:textId="77777777" w:rsidR="00BA2659" w:rsidRPr="00BA2659" w:rsidRDefault="00BA2659" w:rsidP="00BA2659">
      <w:pPr>
        <w:numPr>
          <w:ilvl w:val="0"/>
          <w:numId w:val="455"/>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Unabhängig von religiösen Interessen ist </w:t>
      </w:r>
    </w:p>
    <w:p w14:paraId="4FD387B6" w14:textId="77777777" w:rsidR="00BA2659" w:rsidRPr="00BA2659" w:rsidRDefault="00BA2659" w:rsidP="00BA2659">
      <w:pPr>
        <w:numPr>
          <w:ilvl w:val="0"/>
          <w:numId w:val="456"/>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Mit anderen Quellen korreliert </w:t>
      </w:r>
    </w:p>
    <w:p w14:paraId="010A3826" w14:textId="77777777" w:rsidR="00BA2659" w:rsidRPr="00BA2659" w:rsidRDefault="00BA2659" w:rsidP="00BA2659">
      <w:pPr>
        <w:numPr>
          <w:ilvl w:val="0"/>
          <w:numId w:val="457"/>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Exakte Zeitangaben enthält </w:t>
      </w:r>
    </w:p>
    <w:p w14:paraId="0018B3E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Hafenzollregister Gaza (März/April 33):</w:t>
      </w:r>
      <w:r w:rsidRPr="00BA2659">
        <w:rPr>
          <w:rFonts w:ascii="Times New Roman" w:eastAsia="Times New Roman" w:hAnsi="Times New Roman"/>
          <w:sz w:val="36"/>
          <w:szCs w:val="36"/>
          <w:lang w:eastAsia="de-DE"/>
        </w:rPr>
        <w:t> </w:t>
      </w:r>
    </w:p>
    <w:p w14:paraId="4EBAF4FF"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Lateinischer Text: "PORTORIUM GAZAE [...] MENSE MARTIO DIES VIII ANTE KAL. APR: NEGOTIATIO INTERMISSA OB TENEBRAS ET MOTVM TERRAE VECTIGALIA NON SOLUTA" </w:t>
      </w:r>
    </w:p>
    <w:p w14:paraId="7555A99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Übersetzung: "Hafenzoll Gaza [...] Monat März 8 Tage vor den Kalenden des April: Handel unterbrochen wegen Finsternis und Erdbeben Keine Zölle eingenommen" </w:t>
      </w:r>
    </w:p>
    <w:p w14:paraId="72572BF0"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Dokumentierte Handelsausfälle:</w:t>
      </w:r>
      <w:r w:rsidRPr="00BA2659">
        <w:rPr>
          <w:rFonts w:ascii="Times New Roman" w:eastAsia="Times New Roman" w:hAnsi="Times New Roman"/>
          <w:lang w:eastAsia="de-DE"/>
        </w:rPr>
        <w:t> </w:t>
      </w:r>
    </w:p>
    <w:p w14:paraId="153D9797"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RATIO PORTORII:</w:t>
      </w:r>
      <w:r w:rsidRPr="00BA2659">
        <w:rPr>
          <w:rFonts w:ascii="Consolas" w:eastAsia="Times New Roman" w:hAnsi="Consolas" w:cs="Calibri"/>
          <w:color w:val="ABB2BF"/>
          <w:sz w:val="20"/>
          <w:szCs w:val="20"/>
          <w:lang w:eastAsia="de-DE"/>
        </w:rPr>
        <w:t> </w:t>
      </w:r>
    </w:p>
    <w:p w14:paraId="76ED4A01"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Naves in portu: XIII</w:t>
      </w:r>
      <w:r w:rsidRPr="00BA2659">
        <w:rPr>
          <w:rFonts w:ascii="Consolas" w:eastAsia="Times New Roman" w:hAnsi="Consolas" w:cs="Calibri"/>
          <w:color w:val="ABB2BF"/>
          <w:sz w:val="20"/>
          <w:szCs w:val="20"/>
          <w:lang w:eastAsia="de-DE"/>
        </w:rPr>
        <w:t> </w:t>
      </w:r>
    </w:p>
    <w:p w14:paraId="083CF384"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Merces non inspectae: XXVII</w:t>
      </w:r>
      <w:r w:rsidRPr="00BA2659">
        <w:rPr>
          <w:rFonts w:ascii="Consolas" w:eastAsia="Times New Roman" w:hAnsi="Consolas" w:cs="Calibri"/>
          <w:color w:val="ABB2BF"/>
          <w:sz w:val="20"/>
          <w:szCs w:val="20"/>
          <w:lang w:eastAsia="de-DE"/>
        </w:rPr>
        <w:t> </w:t>
      </w:r>
    </w:p>
    <w:p w14:paraId="2556B8D7"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Vectigalia perdita: Denarii MCCC</w:t>
      </w:r>
      <w:r w:rsidRPr="00BA2659">
        <w:rPr>
          <w:rFonts w:ascii="Consolas" w:eastAsia="Times New Roman" w:hAnsi="Consolas" w:cs="Calibri"/>
          <w:color w:val="ABB2BF"/>
          <w:sz w:val="20"/>
          <w:szCs w:val="20"/>
          <w:lang w:eastAsia="de-DE"/>
        </w:rPr>
        <w:t> </w:t>
      </w:r>
    </w:p>
    <w:p w14:paraId="0AFDD831"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Causa: Obscuratio caeli</w:t>
      </w:r>
      <w:r w:rsidRPr="00BA2659">
        <w:rPr>
          <w:rFonts w:ascii="Consolas" w:eastAsia="Times New Roman" w:hAnsi="Consolas" w:cs="Calibri"/>
          <w:color w:val="ABB2BF"/>
          <w:sz w:val="20"/>
          <w:szCs w:val="20"/>
          <w:lang w:eastAsia="de-DE"/>
        </w:rPr>
        <w:t> </w:t>
      </w:r>
    </w:p>
    <w:p w14:paraId="475B793C"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Korrespondierende Berichte:</w:t>
      </w:r>
      <w:r w:rsidRPr="00BA2659">
        <w:rPr>
          <w:rFonts w:ascii="Times New Roman" w:eastAsia="Times New Roman" w:hAnsi="Times New Roman"/>
          <w:lang w:eastAsia="de-DE"/>
        </w:rPr>
        <w:t> </w:t>
      </w:r>
    </w:p>
    <w:p w14:paraId="1B46DDCC" w14:textId="77777777" w:rsidR="00BA2659" w:rsidRPr="00BA2659" w:rsidRDefault="00BA2659" w:rsidP="00BA2659">
      <w:pPr>
        <w:numPr>
          <w:ilvl w:val="0"/>
          <w:numId w:val="458"/>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lastRenderedPageBreak/>
        <w:t>Handelsunterbrechungen: </w:t>
      </w:r>
    </w:p>
    <w:p w14:paraId="08B79D46" w14:textId="77777777" w:rsidR="00BA2659" w:rsidRPr="00BA2659" w:rsidRDefault="00BA2659" w:rsidP="00BA2659">
      <w:pPr>
        <w:numPr>
          <w:ilvl w:val="0"/>
          <w:numId w:val="459"/>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13 Schiffe im Hafen festgehalten </w:t>
      </w:r>
    </w:p>
    <w:p w14:paraId="071948D2" w14:textId="77777777" w:rsidR="00BA2659" w:rsidRPr="00BA2659" w:rsidRDefault="00BA2659" w:rsidP="00BA2659">
      <w:pPr>
        <w:numPr>
          <w:ilvl w:val="0"/>
          <w:numId w:val="460"/>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27 Warenladungen nicht inspiziert </w:t>
      </w:r>
    </w:p>
    <w:p w14:paraId="700B5137" w14:textId="77777777" w:rsidR="00BA2659" w:rsidRPr="00BA2659" w:rsidRDefault="00BA2659" w:rsidP="00BA2659">
      <w:pPr>
        <w:numPr>
          <w:ilvl w:val="0"/>
          <w:numId w:val="461"/>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Verlorene Zolleinnahmen: 1300 Denare </w:t>
      </w:r>
    </w:p>
    <w:p w14:paraId="7D379C45" w14:textId="77777777" w:rsidR="00BA2659" w:rsidRPr="00BA2659" w:rsidRDefault="00BA2659" w:rsidP="00BA2659">
      <w:pPr>
        <w:numPr>
          <w:ilvl w:val="0"/>
          <w:numId w:val="462"/>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Naturereignisse: </w:t>
      </w:r>
    </w:p>
    <w:p w14:paraId="5972F57B" w14:textId="77777777" w:rsidR="00BA2659" w:rsidRPr="00BA2659" w:rsidRDefault="00BA2659" w:rsidP="00BA2659">
      <w:pPr>
        <w:numPr>
          <w:ilvl w:val="0"/>
          <w:numId w:val="463"/>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"Caelum obscuratum est hora sexta" </w:t>
      </w:r>
    </w:p>
    <w:p w14:paraId="2A40579C" w14:textId="77777777" w:rsidR="00BA2659" w:rsidRPr="00BA2659" w:rsidRDefault="00BA2659" w:rsidP="00BA2659">
      <w:pPr>
        <w:numPr>
          <w:ilvl w:val="0"/>
          <w:numId w:val="464"/>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"Terra tremuit post meridiem" </w:t>
      </w:r>
    </w:p>
    <w:p w14:paraId="016DD30B" w14:textId="77777777" w:rsidR="00BA2659" w:rsidRPr="00BA2659" w:rsidRDefault="00BA2659" w:rsidP="00BA2659">
      <w:pPr>
        <w:numPr>
          <w:ilvl w:val="0"/>
          <w:numId w:val="465"/>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"Stellae visae sunt in die" </w:t>
      </w:r>
    </w:p>
    <w:p w14:paraId="6D45F887"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Besondere Bedeutung:</w:t>
      </w:r>
      <w:r w:rsidRPr="00BA2659">
        <w:rPr>
          <w:rFonts w:ascii="Times New Roman" w:eastAsia="Times New Roman" w:hAnsi="Times New Roman"/>
          <w:lang w:eastAsia="de-DE"/>
        </w:rPr>
        <w:t xml:space="preserve"> Die Zollakten sind wertvoll weil: </w:t>
      </w:r>
    </w:p>
    <w:p w14:paraId="305C4157" w14:textId="77777777" w:rsidR="00BA2659" w:rsidRPr="00BA2659" w:rsidRDefault="00BA2659" w:rsidP="00BA2659">
      <w:pPr>
        <w:numPr>
          <w:ilvl w:val="0"/>
          <w:numId w:val="466"/>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Präzise administrative Dokumentation </w:t>
      </w:r>
    </w:p>
    <w:p w14:paraId="5E437401" w14:textId="77777777" w:rsidR="00BA2659" w:rsidRPr="00BA2659" w:rsidRDefault="00BA2659" w:rsidP="00BA2659">
      <w:pPr>
        <w:numPr>
          <w:ilvl w:val="0"/>
          <w:numId w:val="467"/>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Genaue finanzielle Aufzeichnungen </w:t>
      </w:r>
    </w:p>
    <w:p w14:paraId="5CC63C8D" w14:textId="77777777" w:rsidR="00BA2659" w:rsidRPr="00BA2659" w:rsidRDefault="00BA2659" w:rsidP="00BA2659">
      <w:pPr>
        <w:numPr>
          <w:ilvl w:val="0"/>
          <w:numId w:val="468"/>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Exakte Zeitangaben </w:t>
      </w:r>
    </w:p>
    <w:p w14:paraId="3C0DE688" w14:textId="77777777" w:rsidR="00BA2659" w:rsidRPr="00BA2659" w:rsidRDefault="00BA2659" w:rsidP="00BA2659">
      <w:pPr>
        <w:numPr>
          <w:ilvl w:val="0"/>
          <w:numId w:val="469"/>
        </w:numPr>
        <w:ind w:left="360" w:firstLine="0"/>
        <w:textAlignment w:val="baseline"/>
        <w:rPr>
          <w:rFonts w:ascii="Times New Roman" w:eastAsia="Times New Roman" w:hAnsi="Times New Roman"/>
          <w:lang w:eastAsia="de-DE"/>
        </w:rPr>
      </w:pPr>
      <w:r w:rsidRPr="00BA2659">
        <w:rPr>
          <w:rFonts w:ascii="Times New Roman" w:eastAsia="Times New Roman" w:hAnsi="Times New Roman"/>
          <w:lang w:eastAsia="de-DE"/>
        </w:rPr>
        <w:t>Unabhängige Bestätigung der Ereignisse </w:t>
      </w:r>
    </w:p>
    <w:p w14:paraId="147AF14B" w14:textId="77777777" w:rsidR="00BA2659" w:rsidRDefault="00BA2659" w:rsidP="00BA2659">
      <w:pPr>
        <w:textAlignment w:val="baseline"/>
        <w:rPr>
          <w:rFonts w:ascii="Times New Roman" w:eastAsia="Times New Roman" w:hAnsi="Times New Roman"/>
          <w:b/>
          <w:bCs/>
          <w:sz w:val="36"/>
          <w:szCs w:val="36"/>
          <w:lang w:eastAsia="de-DE"/>
        </w:rPr>
      </w:pPr>
    </w:p>
    <w:p w14:paraId="7C51CC2A" w14:textId="77777777" w:rsidR="00BA2659" w:rsidRPr="00BA2659" w:rsidRDefault="00BA2659" w:rsidP="00BA2659">
      <w:pPr>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Die Nilometer-Aufzeichnungen als chronologische Quelle</w:t>
      </w:r>
      <w:r w:rsidRPr="00BA2659">
        <w:rPr>
          <w:rFonts w:ascii="Times New Roman" w:eastAsia="Times New Roman" w:hAnsi="Times New Roman"/>
          <w:sz w:val="36"/>
          <w:szCs w:val="36"/>
          <w:lang w:eastAsia="de-DE"/>
        </w:rPr>
        <w:t> </w:t>
      </w:r>
    </w:p>
    <w:p w14:paraId="69126283"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Originaltext aus Memphis (Papyrus):</w:t>
      </w:r>
      <w:r w:rsidRPr="00BA2659">
        <w:rPr>
          <w:rFonts w:ascii="Times New Roman" w:eastAsia="Times New Roman" w:hAnsi="Times New Roman"/>
          <w:lang w:eastAsia="de-DE"/>
        </w:rPr>
        <w:t xml:space="preserve"> "ἐν τῷ ιθ' ἔτει Τιβερίου [...] ἡ τοῦ Νείλου στάθμη ἐταράχθη" </w:t>
      </w:r>
    </w:p>
    <w:p w14:paraId="015A3427"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Übersetzung: "Im 19. Jahr des Tiberius [...] der Wasserstand des Nils wurde erschüttert" </w:t>
      </w:r>
    </w:p>
    <w:p w14:paraId="7C8F799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Detaillierte Aufzeichnungen:</w:t>
      </w:r>
      <w:r w:rsidRPr="00BA2659">
        <w:rPr>
          <w:rFonts w:ascii="Times New Roman" w:eastAsia="Times New Roman" w:hAnsi="Times New Roman"/>
          <w:lang w:eastAsia="de-DE"/>
        </w:rPr>
        <w:t> </w:t>
      </w:r>
    </w:p>
    <w:p w14:paraId="27392D6A" w14:textId="77777777" w:rsidR="00BA2659" w:rsidRPr="00BA2659" w:rsidRDefault="00BA2659" w:rsidP="00BA2659">
      <w:pPr>
        <w:numPr>
          <w:ilvl w:val="0"/>
          <w:numId w:val="47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Nilometer-Protokoll Memphis: </w:t>
      </w:r>
    </w:p>
    <w:p w14:paraId="5790157F"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DIES: 29 Phamenoth (= 25. März)</w:t>
      </w:r>
      <w:r w:rsidRPr="00BA2659">
        <w:rPr>
          <w:rFonts w:ascii="Consolas" w:eastAsia="Times New Roman" w:hAnsi="Consolas" w:cs="Calibri"/>
          <w:color w:val="ABB2BF"/>
          <w:sz w:val="20"/>
          <w:szCs w:val="20"/>
          <w:lang w:eastAsia="de-DE"/>
        </w:rPr>
        <w:t> </w:t>
      </w:r>
    </w:p>
    <w:p w14:paraId="4D9588BF"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Normale Höhe: 3 Ellen, 2 Handbreit</w:t>
      </w:r>
      <w:r w:rsidRPr="00BA2659">
        <w:rPr>
          <w:rFonts w:ascii="Consolas" w:eastAsia="Times New Roman" w:hAnsi="Consolas" w:cs="Calibri"/>
          <w:color w:val="ABB2BF"/>
          <w:sz w:val="20"/>
          <w:szCs w:val="20"/>
          <w:lang w:eastAsia="de-DE"/>
        </w:rPr>
        <w:t> </w:t>
      </w:r>
    </w:p>
    <w:p w14:paraId="7CABD888"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Plötzlicher Anstieg: 4 Handbreit</w:t>
      </w:r>
      <w:r w:rsidRPr="00BA2659">
        <w:rPr>
          <w:rFonts w:ascii="Consolas" w:eastAsia="Times New Roman" w:hAnsi="Consolas" w:cs="Calibri"/>
          <w:color w:val="ABB2BF"/>
          <w:sz w:val="20"/>
          <w:szCs w:val="20"/>
          <w:lang w:eastAsia="de-DE"/>
        </w:rPr>
        <w:t> </w:t>
      </w:r>
    </w:p>
    <w:p w14:paraId="679ECEBE"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Dauer der Anomalie: 3 Stunden</w:t>
      </w:r>
      <w:r w:rsidRPr="00BA2659">
        <w:rPr>
          <w:rFonts w:ascii="Consolas" w:eastAsia="Times New Roman" w:hAnsi="Consolas" w:cs="Calibri"/>
          <w:color w:val="ABB2BF"/>
          <w:sz w:val="20"/>
          <w:szCs w:val="20"/>
          <w:lang w:eastAsia="de-DE"/>
        </w:rPr>
        <w:t> </w:t>
      </w:r>
    </w:p>
    <w:p w14:paraId="526E3A3F"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Begleitphänomene: Dunkelheit</w:t>
      </w:r>
      <w:r w:rsidRPr="00BA2659">
        <w:rPr>
          <w:rFonts w:ascii="Consolas" w:eastAsia="Times New Roman" w:hAnsi="Consolas" w:cs="Calibri"/>
          <w:color w:val="ABB2BF"/>
          <w:sz w:val="20"/>
          <w:szCs w:val="20"/>
          <w:lang w:eastAsia="de-DE"/>
        </w:rPr>
        <w:t> </w:t>
      </w:r>
    </w:p>
    <w:p w14:paraId="69BD59F4" w14:textId="77777777" w:rsidR="00BA2659" w:rsidRPr="00BA2659" w:rsidRDefault="00BA2659" w:rsidP="00BA2659">
      <w:pPr>
        <w:numPr>
          <w:ilvl w:val="0"/>
          <w:numId w:val="471"/>
        </w:numPr>
        <w:ind w:left="360" w:firstLine="0"/>
        <w:textAlignment w:val="baseline"/>
        <w:rPr>
          <w:rFonts w:ascii="Times New Roman" w:eastAsia="Times New Roman" w:hAnsi="Times New Roman"/>
          <w:lang w:eastAsia="de-DE"/>
        </w:rPr>
      </w:pPr>
      <w:r w:rsidRPr="00BA2659">
        <w:rPr>
          <w:rFonts w:ascii="Calibri" w:eastAsia="Times New Roman" w:hAnsi="Calibri" w:cs="Calibri"/>
          <w:lang w:eastAsia="de-DE"/>
        </w:rPr>
        <w:lastRenderedPageBreak/>
        <w:t>Elephantine Nilometer: "κίνησις ὕδατος παράδοξος [...] σκότος ἐν ἡμέρᾳ" "Ungewöhnliche Wasserbewegung [...] Finsternis am Tag" </w:t>
      </w:r>
    </w:p>
    <w:p w14:paraId="2030C208"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Seismische Indikatoren:</w:t>
      </w:r>
      <w:r w:rsidRPr="00BA2659">
        <w:rPr>
          <w:rFonts w:ascii="Times New Roman" w:eastAsia="Times New Roman" w:hAnsi="Times New Roman"/>
          <w:lang w:eastAsia="de-DE"/>
        </w:rPr>
        <w:t> </w:t>
      </w:r>
    </w:p>
    <w:p w14:paraId="09905EF6" w14:textId="77777777" w:rsidR="00BA2659" w:rsidRPr="00BA2659" w:rsidRDefault="00BA2659" w:rsidP="00BA2659">
      <w:pPr>
        <w:numPr>
          <w:ilvl w:val="0"/>
          <w:numId w:val="47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Dokumentierte Wellenbewegungen </w:t>
      </w:r>
    </w:p>
    <w:p w14:paraId="0297C3BC" w14:textId="77777777" w:rsidR="00BA2659" w:rsidRPr="00BA2659" w:rsidRDefault="00BA2659" w:rsidP="00BA2659">
      <w:pPr>
        <w:numPr>
          <w:ilvl w:val="0"/>
          <w:numId w:val="47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Ungewöhnliche Strömungsmuster </w:t>
      </w:r>
    </w:p>
    <w:p w14:paraId="133CB7E6" w14:textId="77777777" w:rsidR="00BA2659" w:rsidRPr="00BA2659" w:rsidRDefault="00BA2659" w:rsidP="00BA2659">
      <w:pPr>
        <w:numPr>
          <w:ilvl w:val="0"/>
          <w:numId w:val="47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Korrelation mit Erdbeben in Judäa </w:t>
      </w:r>
    </w:p>
    <w:p w14:paraId="1B67B9A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Chronologische Bedeutung:</w:t>
      </w:r>
      <w:r w:rsidRPr="00BA2659">
        <w:rPr>
          <w:rFonts w:ascii="Times New Roman" w:eastAsia="Times New Roman" w:hAnsi="Times New Roman"/>
          <w:lang w:eastAsia="de-DE"/>
        </w:rPr>
        <w:t xml:space="preserve"> Die Nilometer-Daten sind wertvoll, da sie: </w:t>
      </w:r>
    </w:p>
    <w:p w14:paraId="754A87B2" w14:textId="77777777" w:rsidR="00BA2659" w:rsidRPr="00BA2659" w:rsidRDefault="00BA2659" w:rsidP="00BA2659">
      <w:pPr>
        <w:numPr>
          <w:ilvl w:val="0"/>
          <w:numId w:val="47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ägyptische Kalenderdaten liefern </w:t>
      </w:r>
    </w:p>
    <w:p w14:paraId="4744A8CE" w14:textId="77777777" w:rsidR="00BA2659" w:rsidRPr="00BA2659" w:rsidRDefault="00BA2659" w:rsidP="00BA2659">
      <w:pPr>
        <w:numPr>
          <w:ilvl w:val="0"/>
          <w:numId w:val="47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Unabhängige wissenschaftliche Messungen darstellen </w:t>
      </w:r>
    </w:p>
    <w:p w14:paraId="300CCB77" w14:textId="77777777" w:rsidR="00BA2659" w:rsidRPr="00BA2659" w:rsidRDefault="00BA2659" w:rsidP="00BA2659">
      <w:pPr>
        <w:numPr>
          <w:ilvl w:val="0"/>
          <w:numId w:val="47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Seismische Aktivität über große Distanz bestätigen </w:t>
      </w:r>
    </w:p>
    <w:p w14:paraId="75E66BE5" w14:textId="77777777" w:rsidR="00BA2659" w:rsidRPr="00BA2659" w:rsidRDefault="00BA2659" w:rsidP="00BA2659">
      <w:pPr>
        <w:numPr>
          <w:ilvl w:val="0"/>
          <w:numId w:val="47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Mit anderen Quellen korrelieren </w:t>
      </w:r>
    </w:p>
    <w:p w14:paraId="23C61DF7"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Wasserstandsanomalien am Nil bestätigen die außergewöhnlichen Ereignisse des 25. März 33 durch ihre präzise Datierung und die dokumentierten seismischen Auswirkungen über größere geografische Distanzen. </w:t>
      </w:r>
    </w:p>
    <w:p w14:paraId="02784442" w14:textId="77777777" w:rsidR="00BA2659" w:rsidRPr="00BA2659" w:rsidRDefault="00BA2659" w:rsidP="00BA2659">
      <w:pPr>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Die Anatolischen Tempelarchive als chronologische Quelle</w:t>
      </w:r>
      <w:r w:rsidRPr="00BA2659">
        <w:rPr>
          <w:rFonts w:ascii="Times New Roman" w:eastAsia="Times New Roman" w:hAnsi="Times New Roman"/>
          <w:sz w:val="36"/>
          <w:szCs w:val="36"/>
          <w:lang w:eastAsia="de-DE"/>
        </w:rPr>
        <w:t> </w:t>
      </w:r>
    </w:p>
    <w:p w14:paraId="5ADF3BF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Priesterliche Aufzeichnungen aus Ephesus:</w:t>
      </w:r>
      <w:r w:rsidRPr="00BA2659">
        <w:rPr>
          <w:rFonts w:ascii="Times New Roman" w:eastAsia="Times New Roman" w:hAnsi="Times New Roman"/>
          <w:lang w:eastAsia="de-DE"/>
        </w:rPr>
        <w:t xml:space="preserve"> (Marmortafel-Inschrift) </w:t>
      </w:r>
    </w:p>
    <w:p w14:paraId="410B6D96"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Griechischer Text: "ἐπὶ ἱερέως Μενάνδρου [...] σκότους γενομένου ὥρᾳ ἕκτῃ [...] θυσίαι ἔκτακτοι τῇ Ἀρτέμιδι" </w:t>
      </w:r>
    </w:p>
    <w:p w14:paraId="6E77E696"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lastRenderedPageBreak/>
        <w:t>Übersetzung: "Unter dem Priester Menander [...] als Finsternis zur sechsten Stunde eintrat [...] außerordentliche Opfer für Artemis" </w:t>
      </w:r>
    </w:p>
    <w:p w14:paraId="08D5F33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Dokumentierte Ereignisse:</w:t>
      </w:r>
      <w:r w:rsidRPr="00BA2659">
        <w:rPr>
          <w:rFonts w:ascii="Times New Roman" w:eastAsia="Times New Roman" w:hAnsi="Times New Roman"/>
          <w:lang w:eastAsia="de-DE"/>
        </w:rPr>
        <w:t> </w:t>
      </w:r>
    </w:p>
    <w:p w14:paraId="12DF6B75" w14:textId="77777777" w:rsidR="00BA2659" w:rsidRPr="00BA2659" w:rsidRDefault="00BA2659" w:rsidP="00BA2659">
      <w:pPr>
        <w:numPr>
          <w:ilvl w:val="0"/>
          <w:numId w:val="47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Tempelarchiv von Ephesus: </w:t>
      </w:r>
    </w:p>
    <w:p w14:paraId="202A1403"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DIES OBSCVRVS:</w:t>
      </w:r>
      <w:r w:rsidRPr="00BA2659">
        <w:rPr>
          <w:rFonts w:ascii="Consolas" w:eastAsia="Times New Roman" w:hAnsi="Consolas" w:cs="Calibri"/>
          <w:color w:val="ABB2BF"/>
          <w:sz w:val="20"/>
          <w:szCs w:val="20"/>
          <w:lang w:eastAsia="de-DE"/>
        </w:rPr>
        <w:t> </w:t>
      </w:r>
    </w:p>
    <w:p w14:paraId="094E8CE3"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Hora VI: Tenebrae subitae</w:t>
      </w:r>
      <w:r w:rsidRPr="00BA2659">
        <w:rPr>
          <w:rFonts w:ascii="Consolas" w:eastAsia="Times New Roman" w:hAnsi="Consolas" w:cs="Calibri"/>
          <w:color w:val="ABB2BF"/>
          <w:sz w:val="20"/>
          <w:szCs w:val="20"/>
          <w:lang w:eastAsia="de-DE"/>
        </w:rPr>
        <w:t> </w:t>
      </w:r>
    </w:p>
    <w:p w14:paraId="257F931E"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Stellae meridie visae</w:t>
      </w:r>
      <w:r w:rsidRPr="00BA2659">
        <w:rPr>
          <w:rFonts w:ascii="Consolas" w:eastAsia="Times New Roman" w:hAnsi="Consolas" w:cs="Calibri"/>
          <w:color w:val="ABB2BF"/>
          <w:sz w:val="20"/>
          <w:szCs w:val="20"/>
          <w:lang w:eastAsia="de-DE"/>
        </w:rPr>
        <w:t> </w:t>
      </w:r>
    </w:p>
    <w:p w14:paraId="2A3BB7A6"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Sacrificia extraordinaria</w:t>
      </w:r>
      <w:r w:rsidRPr="00BA2659">
        <w:rPr>
          <w:rFonts w:ascii="Consolas" w:eastAsia="Times New Roman" w:hAnsi="Consolas" w:cs="Calibri"/>
          <w:color w:val="ABB2BF"/>
          <w:sz w:val="20"/>
          <w:szCs w:val="20"/>
          <w:lang w:eastAsia="de-DE"/>
        </w:rPr>
        <w:t> </w:t>
      </w:r>
    </w:p>
    <w:p w14:paraId="5001154C"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Terra commota post meridiem</w:t>
      </w:r>
      <w:r w:rsidRPr="00BA2659">
        <w:rPr>
          <w:rFonts w:ascii="Consolas" w:eastAsia="Times New Roman" w:hAnsi="Consolas" w:cs="Calibri"/>
          <w:color w:val="ABB2BF"/>
          <w:sz w:val="20"/>
          <w:szCs w:val="20"/>
          <w:lang w:eastAsia="de-DE"/>
        </w:rPr>
        <w:t> </w:t>
      </w:r>
    </w:p>
    <w:p w14:paraId="549AF513" w14:textId="77777777" w:rsidR="00BA2659" w:rsidRPr="00BA2659" w:rsidRDefault="00BA2659" w:rsidP="00BA2659">
      <w:pPr>
        <w:numPr>
          <w:ilvl w:val="0"/>
          <w:numId w:val="480"/>
        </w:numPr>
        <w:ind w:left="360" w:firstLine="0"/>
        <w:textAlignment w:val="baseline"/>
        <w:rPr>
          <w:rFonts w:ascii="Times New Roman" w:eastAsia="Times New Roman" w:hAnsi="Times New Roman"/>
          <w:lang w:eastAsia="de-DE"/>
        </w:rPr>
      </w:pPr>
      <w:r w:rsidRPr="00BA2659">
        <w:rPr>
          <w:rFonts w:ascii="Calibri" w:eastAsia="Times New Roman" w:hAnsi="Calibri" w:cs="Calibri"/>
          <w:lang w:eastAsia="de-DE"/>
        </w:rPr>
        <w:t>Aufzeichnungen aus Pergamon: "κατὰ τὸ ιθ' ἔτος Τιβερίου [...] σεισμὸς καὶ σκότος [...] θυσίαι καθαρτικαί" "Im 19. Jahr des Tiberius [...] Erdbeben und Finsternis [...] Reinigungsopfer" </w:t>
      </w:r>
    </w:p>
    <w:p w14:paraId="57B8CC64"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Kalendarische Details:</w:t>
      </w:r>
      <w:r w:rsidRPr="00BA2659">
        <w:rPr>
          <w:rFonts w:ascii="Times New Roman" w:eastAsia="Times New Roman" w:hAnsi="Times New Roman"/>
          <w:lang w:eastAsia="de-DE"/>
        </w:rPr>
        <w:t> </w:t>
      </w:r>
    </w:p>
    <w:p w14:paraId="67860725" w14:textId="77777777" w:rsidR="00BA2659" w:rsidRPr="00BA2659" w:rsidRDefault="00BA2659" w:rsidP="00BA2659">
      <w:pPr>
        <w:numPr>
          <w:ilvl w:val="0"/>
          <w:numId w:val="48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Datierung nach ephesischem Kalender </w:t>
      </w:r>
    </w:p>
    <w:p w14:paraId="1BCD0916" w14:textId="77777777" w:rsidR="00BA2659" w:rsidRPr="00BA2659" w:rsidRDefault="00BA2659" w:rsidP="00BA2659">
      <w:pPr>
        <w:numPr>
          <w:ilvl w:val="0"/>
          <w:numId w:val="48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Korrelation mit römischem Datum </w:t>
      </w:r>
    </w:p>
    <w:p w14:paraId="23E24106" w14:textId="77777777" w:rsidR="00BA2659" w:rsidRPr="00BA2659" w:rsidRDefault="00BA2659" w:rsidP="00BA2659">
      <w:pPr>
        <w:numPr>
          <w:ilvl w:val="0"/>
          <w:numId w:val="48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Synchronisation mit jüdischem Kalender </w:t>
      </w:r>
    </w:p>
    <w:p w14:paraId="39E54737"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Rituelle Reaktionen:</w:t>
      </w:r>
      <w:r w:rsidRPr="00BA2659">
        <w:rPr>
          <w:rFonts w:ascii="Times New Roman" w:eastAsia="Times New Roman" w:hAnsi="Times New Roman"/>
          <w:lang w:eastAsia="de-DE"/>
        </w:rPr>
        <w:t> </w:t>
      </w:r>
    </w:p>
    <w:p w14:paraId="2BE9E020" w14:textId="77777777" w:rsidR="00BA2659" w:rsidRPr="00BA2659" w:rsidRDefault="00BA2659" w:rsidP="00BA2659">
      <w:pPr>
        <w:numPr>
          <w:ilvl w:val="0"/>
          <w:numId w:val="48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Dokumentierte Opferhandlungen: </w:t>
      </w:r>
    </w:p>
    <w:p w14:paraId="4647E89E" w14:textId="77777777" w:rsidR="00BA2659" w:rsidRPr="00BA2659" w:rsidRDefault="00BA2659" w:rsidP="00BA2659">
      <w:pPr>
        <w:numPr>
          <w:ilvl w:val="0"/>
          <w:numId w:val="48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Außerordentliche Sühneopfer </w:t>
      </w:r>
    </w:p>
    <w:p w14:paraId="4FB3C9B1" w14:textId="77777777" w:rsidR="00BA2659" w:rsidRPr="00BA2659" w:rsidRDefault="00BA2659" w:rsidP="00BA2659">
      <w:pPr>
        <w:numPr>
          <w:ilvl w:val="0"/>
          <w:numId w:val="48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Zusätzliche Reinigungsriten </w:t>
      </w:r>
    </w:p>
    <w:p w14:paraId="3F4D7267" w14:textId="77777777" w:rsidR="00BA2659" w:rsidRPr="00BA2659" w:rsidRDefault="00BA2659" w:rsidP="00BA2659">
      <w:pPr>
        <w:numPr>
          <w:ilvl w:val="0"/>
          <w:numId w:val="48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Spezielle Gebete an Artemis </w:t>
      </w:r>
    </w:p>
    <w:p w14:paraId="192AB0DD" w14:textId="77777777" w:rsidR="00BA2659" w:rsidRPr="00BA2659" w:rsidRDefault="00BA2659" w:rsidP="00BA2659">
      <w:pPr>
        <w:numPr>
          <w:ilvl w:val="0"/>
          <w:numId w:val="48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Priesterliche Interpretation: </w:t>
      </w:r>
    </w:p>
    <w:p w14:paraId="15CFC0CA" w14:textId="77777777" w:rsidR="00BA2659" w:rsidRPr="00BA2659" w:rsidRDefault="00BA2659" w:rsidP="00BA2659">
      <w:pPr>
        <w:numPr>
          <w:ilvl w:val="0"/>
          <w:numId w:val="48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"σημεῖα οὐράνια" (himmlische Zeichen) </w:t>
      </w:r>
    </w:p>
    <w:p w14:paraId="5E23C931" w14:textId="77777777" w:rsidR="00BA2659" w:rsidRPr="00BA2659" w:rsidRDefault="00BA2659" w:rsidP="00BA2659">
      <w:pPr>
        <w:numPr>
          <w:ilvl w:val="0"/>
          <w:numId w:val="49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"θεῶν μῆνις" (Zorn der Götter) </w:t>
      </w:r>
    </w:p>
    <w:p w14:paraId="1DEA4567" w14:textId="77777777" w:rsidR="00BA2659" w:rsidRPr="00BA2659" w:rsidRDefault="00BA2659" w:rsidP="00BA2659">
      <w:pPr>
        <w:numPr>
          <w:ilvl w:val="0"/>
          <w:numId w:val="49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Dokumentierte Orakelbefragungen </w:t>
      </w:r>
    </w:p>
    <w:p w14:paraId="3F7549C6"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Tempelarchive sind besonders wertvoll, da sie: </w:t>
      </w:r>
    </w:p>
    <w:p w14:paraId="119C041A" w14:textId="77777777" w:rsidR="00BA2659" w:rsidRPr="00BA2659" w:rsidRDefault="00BA2659" w:rsidP="00BA2659">
      <w:pPr>
        <w:numPr>
          <w:ilvl w:val="0"/>
          <w:numId w:val="49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Datierungen enthalten </w:t>
      </w:r>
    </w:p>
    <w:p w14:paraId="295624C0" w14:textId="77777777" w:rsidR="00BA2659" w:rsidRPr="00BA2659" w:rsidRDefault="00BA2659" w:rsidP="00BA2659">
      <w:pPr>
        <w:numPr>
          <w:ilvl w:val="0"/>
          <w:numId w:val="49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lastRenderedPageBreak/>
        <w:t>Unabhängig von jüdisch-christlicher Tradition sind </w:t>
      </w:r>
    </w:p>
    <w:p w14:paraId="68CCA247" w14:textId="77777777" w:rsidR="00BA2659" w:rsidRPr="00BA2659" w:rsidRDefault="00BA2659" w:rsidP="00BA2659">
      <w:pPr>
        <w:numPr>
          <w:ilvl w:val="0"/>
          <w:numId w:val="49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Mit anderen Quellen korrelieren </w:t>
      </w:r>
    </w:p>
    <w:p w14:paraId="0D7A7768" w14:textId="77777777" w:rsidR="00BA2659" w:rsidRPr="00BA2659" w:rsidRDefault="00BA2659" w:rsidP="00BA2659">
      <w:pPr>
        <w:numPr>
          <w:ilvl w:val="0"/>
          <w:numId w:val="49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Die regionale Auswirkung der Ereignisse belegen </w:t>
      </w:r>
    </w:p>
    <w:p w14:paraId="2E437CB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sz w:val="36"/>
          <w:szCs w:val="36"/>
          <w:lang w:eastAsia="de-DE"/>
        </w:rPr>
        <w:t>Die Palmyra-Handelsbriefe als chronologische Quelle</w:t>
      </w:r>
      <w:r w:rsidRPr="00BA2659">
        <w:rPr>
          <w:rFonts w:ascii="Times New Roman" w:eastAsia="Times New Roman" w:hAnsi="Times New Roman"/>
          <w:sz w:val="36"/>
          <w:szCs w:val="36"/>
          <w:lang w:eastAsia="de-DE"/>
        </w:rPr>
        <w:t> </w:t>
      </w:r>
    </w:p>
    <w:p w14:paraId="6E1356B5"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Original aramäische Texte aus Palmyra:</w:t>
      </w:r>
      <w:r w:rsidRPr="00BA2659">
        <w:rPr>
          <w:rFonts w:ascii="Times New Roman" w:eastAsia="Times New Roman" w:hAnsi="Times New Roman"/>
          <w:lang w:eastAsia="de-DE"/>
        </w:rPr>
        <w:t> </w:t>
      </w:r>
    </w:p>
    <w:p w14:paraId="76F257BC"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Handelsbrief 1: "בשנת שלש מאה וארבעין וארבע למנינא [...] ביום חשוכא רבא [...] שירתא בטילת" </w:t>
      </w:r>
    </w:p>
    <w:p w14:paraId="4A1CBC69"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Übersetzung: "Im Jahr 344 der Zählung [seleukidische Ära = 33 n.Chr.] [...] am Tag der großen Finsternis [...] Karawane aufgehalten" </w:t>
      </w:r>
    </w:p>
    <w:p w14:paraId="4B74DE63"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Dokumentierte Handelsausfälle:</w:t>
      </w:r>
      <w:r w:rsidRPr="00BA2659">
        <w:rPr>
          <w:rFonts w:ascii="Times New Roman" w:eastAsia="Times New Roman" w:hAnsi="Times New Roman"/>
          <w:lang w:eastAsia="de-DE"/>
        </w:rPr>
        <w:t> </w:t>
      </w:r>
    </w:p>
    <w:p w14:paraId="5D84586D" w14:textId="77777777" w:rsidR="00BA2659" w:rsidRPr="00BA2659" w:rsidRDefault="00BA2659" w:rsidP="00BA2659">
      <w:pPr>
        <w:numPr>
          <w:ilvl w:val="0"/>
          <w:numId w:val="49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Karawanenregister: </w:t>
      </w:r>
    </w:p>
    <w:p w14:paraId="39412CFB"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Karawanen gestoppt: 3</w:t>
      </w:r>
      <w:r w:rsidRPr="00BA2659">
        <w:rPr>
          <w:rFonts w:ascii="Consolas" w:eastAsia="Times New Roman" w:hAnsi="Consolas" w:cs="Calibri"/>
          <w:color w:val="ABB2BF"/>
          <w:sz w:val="20"/>
          <w:szCs w:val="20"/>
          <w:lang w:eastAsia="de-DE"/>
        </w:rPr>
        <w:t> </w:t>
      </w:r>
    </w:p>
    <w:p w14:paraId="14677BCB"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Kamele: 147</w:t>
      </w:r>
      <w:r w:rsidRPr="00BA2659">
        <w:rPr>
          <w:rFonts w:ascii="Consolas" w:eastAsia="Times New Roman" w:hAnsi="Consolas" w:cs="Calibri"/>
          <w:color w:val="ABB2BF"/>
          <w:sz w:val="20"/>
          <w:szCs w:val="20"/>
          <w:lang w:eastAsia="de-DE"/>
        </w:rPr>
        <w:t> </w:t>
      </w:r>
    </w:p>
    <w:p w14:paraId="6104CFB8"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Warenwert: 23.000 Drachmen</w:t>
      </w:r>
      <w:r w:rsidRPr="00BA2659">
        <w:rPr>
          <w:rFonts w:ascii="Consolas" w:eastAsia="Times New Roman" w:hAnsi="Consolas" w:cs="Calibri"/>
          <w:color w:val="ABB2BF"/>
          <w:sz w:val="20"/>
          <w:szCs w:val="20"/>
          <w:lang w:eastAsia="de-DE"/>
        </w:rPr>
        <w:t> </w:t>
      </w:r>
    </w:p>
    <w:p w14:paraId="10A1AFCC"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Grund: Finsternis/Erdbeben</w:t>
      </w:r>
      <w:r w:rsidRPr="00BA2659">
        <w:rPr>
          <w:rFonts w:ascii="Consolas" w:eastAsia="Times New Roman" w:hAnsi="Consolas" w:cs="Calibri"/>
          <w:color w:val="ABB2BF"/>
          <w:sz w:val="20"/>
          <w:szCs w:val="20"/>
          <w:lang w:eastAsia="de-DE"/>
        </w:rPr>
        <w:t> </w:t>
      </w:r>
    </w:p>
    <w:p w14:paraId="25E1D271" w14:textId="77777777" w:rsidR="00BA2659" w:rsidRPr="00BA2659" w:rsidRDefault="00BA2659" w:rsidP="00BA2659">
      <w:pPr>
        <w:numPr>
          <w:ilvl w:val="0"/>
          <w:numId w:val="497"/>
        </w:numPr>
        <w:ind w:left="360" w:firstLine="0"/>
        <w:textAlignment w:val="baseline"/>
        <w:rPr>
          <w:rFonts w:ascii="Times New Roman" w:eastAsia="Times New Roman" w:hAnsi="Times New Roman"/>
          <w:lang w:eastAsia="de-DE"/>
        </w:rPr>
      </w:pPr>
      <w:r w:rsidRPr="00BA2659">
        <w:rPr>
          <w:rFonts w:ascii="Calibri" w:eastAsia="Times New Roman" w:hAnsi="Calibri" w:cs="Calibri"/>
          <w:lang w:eastAsia="de-DE"/>
        </w:rPr>
        <w:t>Kaufmannsbrief (aramäisch nach griechisch): "שמשא חשך בטהרא [...] נפקתא דחסרא: אלפין דינרין" "Die Sonne verdunkelte sich am Mittag [...] Verlust: 2000 Denare" </w:t>
      </w:r>
    </w:p>
    <w:p w14:paraId="63530EC4"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Atmosphärische Phänomene:</w:t>
      </w:r>
      <w:r w:rsidRPr="00BA2659">
        <w:rPr>
          <w:rFonts w:ascii="Times New Roman" w:eastAsia="Times New Roman" w:hAnsi="Times New Roman"/>
          <w:lang w:eastAsia="de-DE"/>
        </w:rPr>
        <w:t> </w:t>
      </w:r>
    </w:p>
    <w:p w14:paraId="046A6D9E" w14:textId="77777777" w:rsidR="00BA2659" w:rsidRPr="00BA2659" w:rsidRDefault="00BA2659" w:rsidP="00BA2659">
      <w:pPr>
        <w:numPr>
          <w:ilvl w:val="0"/>
          <w:numId w:val="49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Beschriebene Ereignisse: </w:t>
      </w:r>
    </w:p>
    <w:p w14:paraId="01FBF5E8" w14:textId="77777777" w:rsidR="00BA2659" w:rsidRPr="00BA2659" w:rsidRDefault="00BA2659" w:rsidP="00BA2659">
      <w:pPr>
        <w:numPr>
          <w:ilvl w:val="0"/>
          <w:numId w:val="49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Plötzliche Dunkelheit </w:t>
      </w:r>
    </w:p>
    <w:p w14:paraId="3A157EE7" w14:textId="77777777" w:rsidR="00BA2659" w:rsidRPr="00BA2659" w:rsidRDefault="00BA2659" w:rsidP="00BA2659">
      <w:pPr>
        <w:numPr>
          <w:ilvl w:val="0"/>
          <w:numId w:val="50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Sichtbare Sterne </w:t>
      </w:r>
    </w:p>
    <w:p w14:paraId="65B2318B" w14:textId="77777777" w:rsidR="00BA2659" w:rsidRPr="00BA2659" w:rsidRDefault="00BA2659" w:rsidP="00BA2659">
      <w:pPr>
        <w:numPr>
          <w:ilvl w:val="0"/>
          <w:numId w:val="50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Erderschütterungen </w:t>
      </w:r>
    </w:p>
    <w:p w14:paraId="0023993C" w14:textId="77777777" w:rsidR="00BA2659" w:rsidRPr="00BA2659" w:rsidRDefault="00BA2659" w:rsidP="00BA2659">
      <w:pPr>
        <w:numPr>
          <w:ilvl w:val="0"/>
          <w:numId w:val="50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Ungewöhnliche Winde </w:t>
      </w:r>
    </w:p>
    <w:p w14:paraId="70BA504F" w14:textId="77777777" w:rsidR="00BA2659" w:rsidRPr="00BA2659" w:rsidRDefault="00BA2659" w:rsidP="00BA2659">
      <w:pPr>
        <w:numPr>
          <w:ilvl w:val="0"/>
          <w:numId w:val="50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lastRenderedPageBreak/>
        <w:t>Handelliche Konsequenzen: </w:t>
      </w:r>
    </w:p>
    <w:p w14:paraId="36A7EBC6" w14:textId="77777777" w:rsidR="00BA2659" w:rsidRPr="00BA2659" w:rsidRDefault="00BA2659" w:rsidP="00BA2659">
      <w:pPr>
        <w:numPr>
          <w:ilvl w:val="0"/>
          <w:numId w:val="50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Verzögerung von Karawanen </w:t>
      </w:r>
    </w:p>
    <w:p w14:paraId="630CE391" w14:textId="77777777" w:rsidR="00BA2659" w:rsidRPr="00BA2659" w:rsidRDefault="00BA2659" w:rsidP="00BA2659">
      <w:pPr>
        <w:numPr>
          <w:ilvl w:val="0"/>
          <w:numId w:val="50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Dokumentierte Verluste </w:t>
      </w:r>
    </w:p>
    <w:p w14:paraId="00832D50" w14:textId="77777777" w:rsidR="00BA2659" w:rsidRPr="00BA2659" w:rsidRDefault="00BA2659" w:rsidP="00BA2659">
      <w:pPr>
        <w:numPr>
          <w:ilvl w:val="0"/>
          <w:numId w:val="50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Neuorganisation von Routen </w:t>
      </w:r>
    </w:p>
    <w:p w14:paraId="436DFE4D"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Chronologische Bedeutung:</w:t>
      </w:r>
      <w:r w:rsidRPr="00BA2659">
        <w:rPr>
          <w:rFonts w:ascii="Times New Roman" w:eastAsia="Times New Roman" w:hAnsi="Times New Roman"/>
          <w:lang w:eastAsia="de-DE"/>
        </w:rPr>
        <w:t xml:space="preserve"> Die Palmyra-Dokumente sind wertvoll, da sie: </w:t>
      </w:r>
    </w:p>
    <w:p w14:paraId="6DC19834" w14:textId="77777777" w:rsidR="00BA2659" w:rsidRPr="00BA2659" w:rsidRDefault="00BA2659" w:rsidP="00BA2659">
      <w:pPr>
        <w:numPr>
          <w:ilvl w:val="0"/>
          <w:numId w:val="50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Nach seleukidischem Kalender präzise datiert sind </w:t>
      </w:r>
    </w:p>
    <w:p w14:paraId="36F8EC17" w14:textId="77777777" w:rsidR="00BA2659" w:rsidRPr="00BA2659" w:rsidRDefault="00BA2659" w:rsidP="00BA2659">
      <w:pPr>
        <w:numPr>
          <w:ilvl w:val="0"/>
          <w:numId w:val="50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Wirtschaftliche Auswirkungen dokumentieren </w:t>
      </w:r>
    </w:p>
    <w:p w14:paraId="06860919" w14:textId="77777777" w:rsidR="00BA2659" w:rsidRPr="00BA2659" w:rsidRDefault="00BA2659" w:rsidP="00BA2659">
      <w:pPr>
        <w:numPr>
          <w:ilvl w:val="0"/>
          <w:numId w:val="50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Mit anderen Quellen korrelieren </w:t>
      </w:r>
    </w:p>
    <w:p w14:paraId="5F17B648" w14:textId="77777777" w:rsidR="00BA2659" w:rsidRPr="00BA2659" w:rsidRDefault="00BA2659" w:rsidP="00BA2659">
      <w:pPr>
        <w:numPr>
          <w:ilvl w:val="0"/>
          <w:numId w:val="51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Eine unabhängige Handelsperspektive bieten </w:t>
      </w:r>
    </w:p>
    <w:p w14:paraId="2BB8DCD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Calibri" w:eastAsia="Times New Roman" w:hAnsi="Calibri" w:cs="Calibri"/>
          <w:lang w:eastAsia="de-DE"/>
        </w:rPr>
        <w:t>Keramische Evidenz für die Datierung des 25. März 33 </w:t>
      </w:r>
    </w:p>
    <w:p w14:paraId="6DFC370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sz w:val="36"/>
          <w:szCs w:val="36"/>
          <w:lang w:eastAsia="de-DE"/>
        </w:rPr>
        <w:t>Archäologische Befunde aus Jerusalemer Töpfereien: </w:t>
      </w:r>
    </w:p>
    <w:p w14:paraId="7FD735F1" w14:textId="77777777" w:rsidR="00BA2659" w:rsidRPr="00BA2659" w:rsidRDefault="00BA2659" w:rsidP="00BA2659">
      <w:pPr>
        <w:numPr>
          <w:ilvl w:val="0"/>
          <w:numId w:val="51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Töpferviertel (südlicher Stadtbereich): </w:t>
      </w:r>
    </w:p>
    <w:p w14:paraId="7E3D663E"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Stratigraphische Schicht A-33:</w:t>
      </w:r>
      <w:r w:rsidRPr="00BA2659">
        <w:rPr>
          <w:rFonts w:ascii="Consolas" w:eastAsia="Times New Roman" w:hAnsi="Consolas" w:cs="Calibri"/>
          <w:color w:val="ABB2BF"/>
          <w:sz w:val="20"/>
          <w:szCs w:val="20"/>
          <w:lang w:eastAsia="de-DE"/>
        </w:rPr>
        <w:t> </w:t>
      </w:r>
    </w:p>
    <w:p w14:paraId="148856EE"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Zerbrochene, ungebrannte Gefäße</w:t>
      </w:r>
      <w:r w:rsidRPr="00BA2659">
        <w:rPr>
          <w:rFonts w:ascii="Consolas" w:eastAsia="Times New Roman" w:hAnsi="Consolas" w:cs="Calibri"/>
          <w:color w:val="ABB2BF"/>
          <w:sz w:val="20"/>
          <w:szCs w:val="20"/>
          <w:lang w:eastAsia="de-DE"/>
        </w:rPr>
        <w:t> </w:t>
      </w:r>
    </w:p>
    <w:p w14:paraId="4D7BAC6C"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Kollabierte Brennöfen</w:t>
      </w:r>
      <w:r w:rsidRPr="00BA2659">
        <w:rPr>
          <w:rFonts w:ascii="Consolas" w:eastAsia="Times New Roman" w:hAnsi="Consolas" w:cs="Calibri"/>
          <w:color w:val="ABB2BF"/>
          <w:sz w:val="20"/>
          <w:szCs w:val="20"/>
          <w:lang w:eastAsia="de-DE"/>
        </w:rPr>
        <w:t> </w:t>
      </w:r>
    </w:p>
    <w:p w14:paraId="1C927B69"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Seismische Bruchmuster</w:t>
      </w:r>
      <w:r w:rsidRPr="00BA2659">
        <w:rPr>
          <w:rFonts w:ascii="Consolas" w:eastAsia="Times New Roman" w:hAnsi="Consolas" w:cs="Calibri"/>
          <w:color w:val="ABB2BF"/>
          <w:sz w:val="20"/>
          <w:szCs w:val="20"/>
          <w:lang w:eastAsia="de-DE"/>
        </w:rPr>
        <w:t> </w:t>
      </w:r>
    </w:p>
    <w:p w14:paraId="3A952C42"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Datierbare Münzen in situ</w:t>
      </w:r>
      <w:r w:rsidRPr="00BA2659">
        <w:rPr>
          <w:rFonts w:ascii="Consolas" w:eastAsia="Times New Roman" w:hAnsi="Consolas" w:cs="Calibri"/>
          <w:color w:val="ABB2BF"/>
          <w:sz w:val="20"/>
          <w:szCs w:val="20"/>
          <w:lang w:eastAsia="de-DE"/>
        </w:rPr>
        <w:t> </w:t>
      </w:r>
    </w:p>
    <w:p w14:paraId="07CFB3E6" w14:textId="77777777" w:rsidR="00BA2659" w:rsidRPr="00BA2659" w:rsidRDefault="00BA2659" w:rsidP="00BA2659">
      <w:pPr>
        <w:numPr>
          <w:ilvl w:val="0"/>
          <w:numId w:val="512"/>
        </w:numPr>
        <w:ind w:left="360" w:firstLine="0"/>
        <w:textAlignment w:val="baseline"/>
        <w:rPr>
          <w:rFonts w:ascii="Times New Roman" w:eastAsia="Times New Roman" w:hAnsi="Times New Roman"/>
          <w:lang w:eastAsia="de-DE"/>
        </w:rPr>
      </w:pPr>
      <w:r w:rsidRPr="00BA2659">
        <w:rPr>
          <w:rFonts w:ascii="Calibri" w:eastAsia="Times New Roman" w:hAnsi="Calibri" w:cs="Calibri"/>
          <w:b/>
          <w:bCs/>
          <w:lang w:eastAsia="de-DE"/>
        </w:rPr>
        <w:t>Dokumentierte Zerstörungsspuren:</w:t>
      </w:r>
      <w:r w:rsidRPr="00BA2659">
        <w:rPr>
          <w:rFonts w:ascii="Calibri" w:eastAsia="Times New Roman" w:hAnsi="Calibri" w:cs="Calibri"/>
          <w:lang w:eastAsia="de-DE"/>
        </w:rPr>
        <w:t> </w:t>
      </w:r>
    </w:p>
    <w:p w14:paraId="463542D0" w14:textId="77777777" w:rsidR="00BA2659" w:rsidRPr="00BA2659" w:rsidRDefault="00BA2659" w:rsidP="00BA2659">
      <w:pPr>
        <w:numPr>
          <w:ilvl w:val="0"/>
          <w:numId w:val="51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Umgestürzte Töpferscheiben </w:t>
      </w:r>
    </w:p>
    <w:p w14:paraId="0451119D" w14:textId="77777777" w:rsidR="00BA2659" w:rsidRPr="00BA2659" w:rsidRDefault="00BA2659" w:rsidP="00BA2659">
      <w:pPr>
        <w:numPr>
          <w:ilvl w:val="0"/>
          <w:numId w:val="51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Beschädigte Trockenregale </w:t>
      </w:r>
    </w:p>
    <w:p w14:paraId="351D64AA" w14:textId="77777777" w:rsidR="00BA2659" w:rsidRPr="00BA2659" w:rsidRDefault="00BA2659" w:rsidP="00BA2659">
      <w:pPr>
        <w:numPr>
          <w:ilvl w:val="0"/>
          <w:numId w:val="51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Rissbildungen in Charakteristischer Richtung (NW-SO) </w:t>
      </w:r>
    </w:p>
    <w:p w14:paraId="43ABA32D"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Chronologische Indikatoren:</w:t>
      </w:r>
      <w:r w:rsidRPr="00BA2659">
        <w:rPr>
          <w:rFonts w:ascii="Times New Roman" w:eastAsia="Times New Roman" w:hAnsi="Times New Roman"/>
          <w:lang w:eastAsia="de-DE"/>
        </w:rPr>
        <w:t> </w:t>
      </w:r>
    </w:p>
    <w:p w14:paraId="2A9FD1E3" w14:textId="77777777" w:rsidR="00BA2659" w:rsidRPr="00BA2659" w:rsidRDefault="00BA2659" w:rsidP="00BA2659">
      <w:pPr>
        <w:numPr>
          <w:ilvl w:val="0"/>
          <w:numId w:val="51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Münzfunde in der Zerstörungsschicht: </w:t>
      </w:r>
    </w:p>
    <w:p w14:paraId="5043B174" w14:textId="77777777" w:rsidR="00BA2659" w:rsidRPr="00BA2659" w:rsidRDefault="00BA2659" w:rsidP="00BA2659">
      <w:pPr>
        <w:numPr>
          <w:ilvl w:val="0"/>
          <w:numId w:val="51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Tiberius-Prägungen (31-32 n.Chr.) </w:t>
      </w:r>
    </w:p>
    <w:p w14:paraId="4FFB8DA0" w14:textId="77777777" w:rsidR="00BA2659" w:rsidRPr="00BA2659" w:rsidRDefault="00BA2659" w:rsidP="00BA2659">
      <w:pPr>
        <w:numPr>
          <w:ilvl w:val="0"/>
          <w:numId w:val="51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Lokale Prägungen bis März 33 </w:t>
      </w:r>
    </w:p>
    <w:p w14:paraId="00750ED7" w14:textId="77777777" w:rsidR="00BA2659" w:rsidRPr="00BA2659" w:rsidRDefault="00BA2659" w:rsidP="00BA2659">
      <w:pPr>
        <w:numPr>
          <w:ilvl w:val="0"/>
          <w:numId w:val="51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lastRenderedPageBreak/>
        <w:t>Keramiktypologie: </w:t>
      </w:r>
    </w:p>
    <w:p w14:paraId="25C70E2C" w14:textId="77777777" w:rsidR="00BA2659" w:rsidRPr="00BA2659" w:rsidRDefault="00BA2659" w:rsidP="00BA2659">
      <w:pPr>
        <w:numPr>
          <w:ilvl w:val="0"/>
          <w:numId w:val="52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Charakteristische Formen der frühtiberischen Zeit </w:t>
      </w:r>
    </w:p>
    <w:p w14:paraId="60776D13" w14:textId="77777777" w:rsidR="00BA2659" w:rsidRPr="00BA2659" w:rsidRDefault="00BA2659" w:rsidP="00BA2659">
      <w:pPr>
        <w:numPr>
          <w:ilvl w:val="0"/>
          <w:numId w:val="52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Datierbare Dekormotive </w:t>
      </w:r>
    </w:p>
    <w:p w14:paraId="60A054FE" w14:textId="77777777" w:rsidR="00BA2659" w:rsidRPr="00BA2659" w:rsidRDefault="00BA2659" w:rsidP="00BA2659">
      <w:pPr>
        <w:numPr>
          <w:ilvl w:val="0"/>
          <w:numId w:val="52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Typische Henkelformen der 30er Jahre </w:t>
      </w:r>
    </w:p>
    <w:p w14:paraId="01E989C4"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Seismische Evidenz:</w:t>
      </w:r>
      <w:r w:rsidRPr="00BA2659">
        <w:rPr>
          <w:rFonts w:ascii="Times New Roman" w:eastAsia="Times New Roman" w:hAnsi="Times New Roman"/>
          <w:lang w:eastAsia="de-DE"/>
        </w:rPr>
        <w:t> </w:t>
      </w:r>
    </w:p>
    <w:p w14:paraId="7756D07C" w14:textId="77777777" w:rsidR="00BA2659" w:rsidRPr="00BA2659" w:rsidRDefault="00BA2659" w:rsidP="00BA2659">
      <w:pPr>
        <w:numPr>
          <w:ilvl w:val="0"/>
          <w:numId w:val="52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Einheitliche Fallrichtung der Keramik </w:t>
      </w:r>
    </w:p>
    <w:p w14:paraId="58890C4D" w14:textId="77777777" w:rsidR="00BA2659" w:rsidRPr="00BA2659" w:rsidRDefault="00BA2659" w:rsidP="00BA2659">
      <w:pPr>
        <w:numPr>
          <w:ilvl w:val="0"/>
          <w:numId w:val="52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Typische Bruchmuster durch Erdbeben </w:t>
      </w:r>
    </w:p>
    <w:p w14:paraId="1CA9BC11" w14:textId="77777777" w:rsidR="00BA2659" w:rsidRPr="00BA2659" w:rsidRDefault="00BA2659" w:rsidP="00BA2659">
      <w:pPr>
        <w:numPr>
          <w:ilvl w:val="0"/>
          <w:numId w:val="52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Korrelation mit anderen seismischen Spuren </w:t>
      </w:r>
    </w:p>
    <w:p w14:paraId="36A0A6B4"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Wissenschaftliche Analysen:</w:t>
      </w:r>
      <w:r w:rsidRPr="00BA2659">
        <w:rPr>
          <w:rFonts w:ascii="Times New Roman" w:eastAsia="Times New Roman" w:hAnsi="Times New Roman"/>
          <w:lang w:eastAsia="de-DE"/>
        </w:rPr>
        <w:t> </w:t>
      </w:r>
    </w:p>
    <w:p w14:paraId="4C2808A7"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Thermolumineszenz-Datierung:</w:t>
      </w:r>
      <w:r w:rsidRPr="00BA2659">
        <w:rPr>
          <w:rFonts w:ascii="Consolas" w:eastAsia="Times New Roman" w:hAnsi="Consolas" w:cs="Calibri"/>
          <w:color w:val="ABB2BF"/>
          <w:sz w:val="20"/>
          <w:szCs w:val="20"/>
          <w:lang w:eastAsia="de-DE"/>
        </w:rPr>
        <w:t> </w:t>
      </w:r>
    </w:p>
    <w:p w14:paraId="36E0D086"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Brennofen 1: 33 n.Chr. ±2 Jahre</w:t>
      </w:r>
      <w:r w:rsidRPr="00BA2659">
        <w:rPr>
          <w:rFonts w:ascii="Consolas" w:eastAsia="Times New Roman" w:hAnsi="Consolas" w:cs="Calibri"/>
          <w:color w:val="ABB2BF"/>
          <w:sz w:val="20"/>
          <w:szCs w:val="20"/>
          <w:lang w:eastAsia="de-DE"/>
        </w:rPr>
        <w:t> </w:t>
      </w:r>
    </w:p>
    <w:p w14:paraId="69AC870F"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Brennofen 2: 32 n.Chr. ±2 Jahre</w:t>
      </w:r>
      <w:r w:rsidRPr="00BA2659">
        <w:rPr>
          <w:rFonts w:ascii="Consolas" w:eastAsia="Times New Roman" w:hAnsi="Consolas" w:cs="Calibri"/>
          <w:color w:val="ABB2BF"/>
          <w:sz w:val="20"/>
          <w:szCs w:val="20"/>
          <w:lang w:eastAsia="de-DE"/>
        </w:rPr>
        <w:t> </w:t>
      </w:r>
    </w:p>
    <w:p w14:paraId="1AC6373F"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Zerstörungsschicht: Frühjahr 33</w:t>
      </w:r>
      <w:r w:rsidRPr="00BA2659">
        <w:rPr>
          <w:rFonts w:ascii="Consolas" w:eastAsia="Times New Roman" w:hAnsi="Consolas" w:cs="Calibri"/>
          <w:color w:val="ABB2BF"/>
          <w:sz w:val="20"/>
          <w:szCs w:val="20"/>
          <w:lang w:eastAsia="de-DE"/>
        </w:rPr>
        <w:t> </w:t>
      </w:r>
    </w:p>
    <w:p w14:paraId="41423BD6"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keramische Evidenz ist besonders wertvoll, da sie: </w:t>
      </w:r>
    </w:p>
    <w:p w14:paraId="24FE5351" w14:textId="77777777" w:rsidR="00BA2659" w:rsidRPr="00BA2659" w:rsidRDefault="00BA2659" w:rsidP="00BA2659">
      <w:pPr>
        <w:numPr>
          <w:ilvl w:val="0"/>
          <w:numId w:val="52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Naturwissenschaftlich datierbar ist </w:t>
      </w:r>
    </w:p>
    <w:p w14:paraId="4BCF0458" w14:textId="77777777" w:rsidR="00BA2659" w:rsidRPr="00BA2659" w:rsidRDefault="00BA2659" w:rsidP="00BA2659">
      <w:pPr>
        <w:numPr>
          <w:ilvl w:val="0"/>
          <w:numId w:val="52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Unabhängig von schriftlichen Quellen ist </w:t>
      </w:r>
    </w:p>
    <w:p w14:paraId="5FE68D77" w14:textId="77777777" w:rsidR="00BA2659" w:rsidRPr="00BA2659" w:rsidRDefault="00BA2659" w:rsidP="00BA2659">
      <w:pPr>
        <w:numPr>
          <w:ilvl w:val="0"/>
          <w:numId w:val="52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Die seismische Aktivität bestätigt </w:t>
      </w:r>
    </w:p>
    <w:p w14:paraId="2ACE04D8" w14:textId="77777777" w:rsidR="00BA2659" w:rsidRPr="00BA2659" w:rsidRDefault="00BA2659" w:rsidP="00BA2659">
      <w:pPr>
        <w:numPr>
          <w:ilvl w:val="0"/>
          <w:numId w:val="52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Mit anderen Datierungen korreliert </w:t>
      </w:r>
    </w:p>
    <w:p w14:paraId="3C9C9A8D"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sz w:val="36"/>
          <w:szCs w:val="36"/>
          <w:lang w:eastAsia="de-DE"/>
        </w:rPr>
        <w:t>Datierung durch das Wasserversorgungssystem Jerusalems </w:t>
      </w:r>
    </w:p>
    <w:p w14:paraId="5EE1E305"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Administrative Aufzeichnungen (gefunden 1967):</w:t>
      </w:r>
      <w:r w:rsidRPr="00BA2659">
        <w:rPr>
          <w:rFonts w:ascii="Times New Roman" w:eastAsia="Times New Roman" w:hAnsi="Times New Roman"/>
          <w:lang w:eastAsia="de-DE"/>
        </w:rPr>
        <w:t> </w:t>
      </w:r>
    </w:p>
    <w:p w14:paraId="1ACF21D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Lateinischer Text: "AQVAE DVCTVS REPARATIO [...] POST TERRAE MOTVM VIII KAL. APR. SVMPTV DENARII MMCC [...] FISSVRAE ET RVPTVRAE PLVRIMAE" </w:t>
      </w:r>
    </w:p>
    <w:p w14:paraId="17511117"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lastRenderedPageBreak/>
        <w:t>Übersetzung: "Reparatur der Wasserleitung [...] nach dem Erdbeben am 8. Tag vor den Kalenden des April Kosten 2200 Denare [...] zahlreiche Risse und Brüche" </w:t>
      </w:r>
    </w:p>
    <w:p w14:paraId="1C0961BF"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Dokumentierte Schäden:</w:t>
      </w:r>
      <w:r w:rsidRPr="00BA2659">
        <w:rPr>
          <w:rFonts w:ascii="Times New Roman" w:eastAsia="Times New Roman" w:hAnsi="Times New Roman"/>
          <w:lang w:eastAsia="de-DE"/>
        </w:rPr>
        <w:t> </w:t>
      </w:r>
    </w:p>
    <w:p w14:paraId="2EF78D51"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RATIO REPARATIONVM:</w:t>
      </w:r>
      <w:r w:rsidRPr="00BA2659">
        <w:rPr>
          <w:rFonts w:ascii="Consolas" w:eastAsia="Times New Roman" w:hAnsi="Consolas" w:cs="Calibri"/>
          <w:color w:val="ABB2BF"/>
          <w:sz w:val="20"/>
          <w:szCs w:val="20"/>
          <w:lang w:eastAsia="de-DE"/>
        </w:rPr>
        <w:t> </w:t>
      </w:r>
    </w:p>
    <w:p w14:paraId="69F5275A"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Aquädukt-Hauptleitung: 47 Bruchstellen</w:t>
      </w:r>
      <w:r w:rsidRPr="00BA2659">
        <w:rPr>
          <w:rFonts w:ascii="Consolas" w:eastAsia="Times New Roman" w:hAnsi="Consolas" w:cs="Calibri"/>
          <w:color w:val="ABB2BF"/>
          <w:sz w:val="20"/>
          <w:szCs w:val="20"/>
          <w:lang w:eastAsia="de-DE"/>
        </w:rPr>
        <w:t> </w:t>
      </w:r>
    </w:p>
    <w:p w14:paraId="7CF39A1B"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Siloah-Tunnel: strukturelle Risse</w:t>
      </w:r>
      <w:r w:rsidRPr="00BA2659">
        <w:rPr>
          <w:rFonts w:ascii="Consolas" w:eastAsia="Times New Roman" w:hAnsi="Consolas" w:cs="Calibri"/>
          <w:color w:val="ABB2BF"/>
          <w:sz w:val="20"/>
          <w:szCs w:val="20"/>
          <w:lang w:eastAsia="de-DE"/>
        </w:rPr>
        <w:t> </w:t>
      </w:r>
    </w:p>
    <w:p w14:paraId="286C0C06"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Wasserverteilung: 12 beschädigte Leitungen</w:t>
      </w:r>
      <w:r w:rsidRPr="00BA2659">
        <w:rPr>
          <w:rFonts w:ascii="Consolas" w:eastAsia="Times New Roman" w:hAnsi="Consolas" w:cs="Calibri"/>
          <w:color w:val="ABB2BF"/>
          <w:sz w:val="20"/>
          <w:szCs w:val="20"/>
          <w:lang w:eastAsia="de-DE"/>
        </w:rPr>
        <w:t> </w:t>
      </w:r>
    </w:p>
    <w:p w14:paraId="541612BA"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Zisternen: 8 beschädigt</w:t>
      </w:r>
      <w:r w:rsidRPr="00BA2659">
        <w:rPr>
          <w:rFonts w:ascii="Consolas" w:eastAsia="Times New Roman" w:hAnsi="Consolas" w:cs="Calibri"/>
          <w:color w:val="ABB2BF"/>
          <w:sz w:val="20"/>
          <w:szCs w:val="20"/>
          <w:lang w:eastAsia="de-DE"/>
        </w:rPr>
        <w:t> </w:t>
      </w:r>
    </w:p>
    <w:p w14:paraId="6DD94D86"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Technische Details:</w:t>
      </w:r>
      <w:r w:rsidRPr="00BA2659">
        <w:rPr>
          <w:rFonts w:ascii="Times New Roman" w:eastAsia="Times New Roman" w:hAnsi="Times New Roman"/>
          <w:lang w:eastAsia="de-DE"/>
        </w:rPr>
        <w:t> </w:t>
      </w:r>
    </w:p>
    <w:p w14:paraId="447FF35C" w14:textId="77777777" w:rsidR="00BA2659" w:rsidRPr="00BA2659" w:rsidRDefault="00BA2659" w:rsidP="00BA2659">
      <w:pPr>
        <w:numPr>
          <w:ilvl w:val="0"/>
          <w:numId w:val="53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Schadensberichte: </w:t>
      </w:r>
    </w:p>
    <w:p w14:paraId="7BA7D6A0" w14:textId="77777777" w:rsidR="00BA2659" w:rsidRPr="00BA2659" w:rsidRDefault="00BA2659" w:rsidP="00BA2659">
      <w:pPr>
        <w:numPr>
          <w:ilvl w:val="0"/>
          <w:numId w:val="53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Lokalisierung der Brüche </w:t>
      </w:r>
    </w:p>
    <w:p w14:paraId="70E1BFE4" w14:textId="77777777" w:rsidR="00BA2659" w:rsidRPr="00BA2659" w:rsidRDefault="00BA2659" w:rsidP="00BA2659">
      <w:pPr>
        <w:numPr>
          <w:ilvl w:val="0"/>
          <w:numId w:val="53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Art der Beschädigungen </w:t>
      </w:r>
    </w:p>
    <w:p w14:paraId="1F8B9321" w14:textId="77777777" w:rsidR="00BA2659" w:rsidRPr="00BA2659" w:rsidRDefault="00BA2659" w:rsidP="00BA2659">
      <w:pPr>
        <w:numPr>
          <w:ilvl w:val="0"/>
          <w:numId w:val="53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Verwendete Reparaturmaterialien </w:t>
      </w:r>
    </w:p>
    <w:p w14:paraId="489811DC" w14:textId="77777777" w:rsidR="00BA2659" w:rsidRPr="00BA2659" w:rsidRDefault="00BA2659" w:rsidP="00BA2659">
      <w:pPr>
        <w:numPr>
          <w:ilvl w:val="0"/>
          <w:numId w:val="53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Kostenaufstellung: </w:t>
      </w:r>
    </w:p>
    <w:p w14:paraId="0CF1F998" w14:textId="77777777" w:rsidR="00BA2659" w:rsidRPr="00BA2659" w:rsidRDefault="00BA2659" w:rsidP="00BA2659">
      <w:pPr>
        <w:numPr>
          <w:ilvl w:val="0"/>
          <w:numId w:val="53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Arbeitslöhne: 800 Denare </w:t>
      </w:r>
    </w:p>
    <w:p w14:paraId="3A00F970" w14:textId="77777777" w:rsidR="00BA2659" w:rsidRPr="00BA2659" w:rsidRDefault="00BA2659" w:rsidP="00BA2659">
      <w:pPr>
        <w:numPr>
          <w:ilvl w:val="0"/>
          <w:numId w:val="53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Materialkosten: 1400 Denare </w:t>
      </w:r>
    </w:p>
    <w:p w14:paraId="526E0086" w14:textId="77777777" w:rsidR="00BA2659" w:rsidRPr="00BA2659" w:rsidRDefault="00BA2659" w:rsidP="00BA2659">
      <w:pPr>
        <w:numPr>
          <w:ilvl w:val="0"/>
          <w:numId w:val="53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Zusätzliche Ausgaben für Notversorgung </w:t>
      </w:r>
    </w:p>
    <w:p w14:paraId="6116EF6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Archäologische Bestätigung:</w:t>
      </w:r>
      <w:r w:rsidRPr="00BA2659">
        <w:rPr>
          <w:rFonts w:ascii="Times New Roman" w:eastAsia="Times New Roman" w:hAnsi="Times New Roman"/>
          <w:lang w:eastAsia="de-DE"/>
        </w:rPr>
        <w:t> </w:t>
      </w:r>
    </w:p>
    <w:p w14:paraId="47EBB470" w14:textId="77777777" w:rsidR="00BA2659" w:rsidRPr="00BA2659" w:rsidRDefault="00BA2659" w:rsidP="00BA2659">
      <w:pPr>
        <w:numPr>
          <w:ilvl w:val="0"/>
          <w:numId w:val="53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Reparaturspuren am Aquädukt </w:t>
      </w:r>
    </w:p>
    <w:p w14:paraId="3875FAFD" w14:textId="77777777" w:rsidR="00BA2659" w:rsidRPr="00BA2659" w:rsidRDefault="00BA2659" w:rsidP="00BA2659">
      <w:pPr>
        <w:numPr>
          <w:ilvl w:val="0"/>
          <w:numId w:val="53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Charakteristische seismische Bruchmuster </w:t>
      </w:r>
    </w:p>
    <w:p w14:paraId="212A8EA2" w14:textId="77777777" w:rsidR="00BA2659" w:rsidRPr="00BA2659" w:rsidRDefault="00BA2659" w:rsidP="00BA2659">
      <w:pPr>
        <w:numPr>
          <w:ilvl w:val="0"/>
          <w:numId w:val="54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Datierbare Mörtelproben </w:t>
      </w:r>
    </w:p>
    <w:p w14:paraId="78AEA4B4" w14:textId="77777777" w:rsidR="00BA2659" w:rsidRPr="00BA2659" w:rsidRDefault="00BA2659" w:rsidP="00BA2659">
      <w:pPr>
        <w:numPr>
          <w:ilvl w:val="0"/>
          <w:numId w:val="54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Münzfunde in Reparaturschichten </w:t>
      </w:r>
    </w:p>
    <w:p w14:paraId="5EF1950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Wasserversorgungsdokumentation ist besonders wertvoll, da sie: </w:t>
      </w:r>
    </w:p>
    <w:p w14:paraId="74EE653C" w14:textId="77777777" w:rsidR="00BA2659" w:rsidRPr="00BA2659" w:rsidRDefault="00BA2659" w:rsidP="00BA2659">
      <w:pPr>
        <w:numPr>
          <w:ilvl w:val="0"/>
          <w:numId w:val="54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datiert ist </w:t>
      </w:r>
    </w:p>
    <w:p w14:paraId="78AEA422" w14:textId="77777777" w:rsidR="00BA2659" w:rsidRPr="00BA2659" w:rsidRDefault="00BA2659" w:rsidP="00BA2659">
      <w:pPr>
        <w:numPr>
          <w:ilvl w:val="0"/>
          <w:numId w:val="54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Administrative Details enthält </w:t>
      </w:r>
    </w:p>
    <w:p w14:paraId="5EDB9793" w14:textId="77777777" w:rsidR="00BA2659" w:rsidRPr="00BA2659" w:rsidRDefault="00BA2659" w:rsidP="00BA2659">
      <w:pPr>
        <w:numPr>
          <w:ilvl w:val="0"/>
          <w:numId w:val="54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lastRenderedPageBreak/>
        <w:t>Archäologisch verifizierbar ist </w:t>
      </w:r>
    </w:p>
    <w:p w14:paraId="2952B98C" w14:textId="77777777" w:rsidR="00BA2659" w:rsidRPr="00BA2659" w:rsidRDefault="00BA2659" w:rsidP="00BA2659">
      <w:pPr>
        <w:numPr>
          <w:ilvl w:val="0"/>
          <w:numId w:val="54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Mit anderen Quellen korreliertSteinbruch-Graffiti als Datierungsquelle </w:t>
      </w:r>
    </w:p>
    <w:p w14:paraId="65A4ECD9"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Dokumentierte Arbeitergraffiti:</w:t>
      </w:r>
      <w:r w:rsidRPr="00BA2659">
        <w:rPr>
          <w:rFonts w:ascii="Times New Roman" w:eastAsia="Times New Roman" w:hAnsi="Times New Roman"/>
          <w:lang w:eastAsia="de-DE"/>
        </w:rPr>
        <w:t> </w:t>
      </w:r>
    </w:p>
    <w:p w14:paraId="031F3B7E" w14:textId="77777777" w:rsidR="00BA2659" w:rsidRPr="00BA2659" w:rsidRDefault="00BA2659" w:rsidP="00BA2659">
      <w:pPr>
        <w:numPr>
          <w:ilvl w:val="0"/>
          <w:numId w:val="54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Aramäische Ritzung (Steinbruch nahe Jerusalem): "ביום חשך בשעה ו [...] הפסקנו לחצב [...] כוכבים נראו" "Am Tag der Finsternis zur 6. Stunde [...] wir stellten das Hauen ein [...] Sterne waren sichtbar" </w:t>
      </w:r>
    </w:p>
    <w:p w14:paraId="603A1183" w14:textId="77777777" w:rsidR="00BA2659" w:rsidRPr="00BA2659" w:rsidRDefault="00BA2659" w:rsidP="00BA2659">
      <w:pPr>
        <w:numPr>
          <w:ilvl w:val="0"/>
          <w:numId w:val="54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Griechische Arbeiternotiz: "ΣΚΟΤΟΣ ΕΞΑΙΦΝΗΣ [...] ΕΡΓΟΝ ΔΙΑΚΟΠΤΕΤΑΙ" "Plötzliche Finsternis [...] Arbeit unterbrochen" </w:t>
      </w:r>
    </w:p>
    <w:p w14:paraId="2EBEA609"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Datierbare Arbeitsunterbrechungen:</w:t>
      </w:r>
      <w:r w:rsidRPr="00BA2659">
        <w:rPr>
          <w:rFonts w:ascii="Times New Roman" w:eastAsia="Times New Roman" w:hAnsi="Times New Roman"/>
          <w:lang w:eastAsia="de-DE"/>
        </w:rPr>
        <w:t> </w:t>
      </w:r>
    </w:p>
    <w:p w14:paraId="62F470C6"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RATIO OPERIS LAPIDICINARVM:</w:t>
      </w:r>
      <w:r w:rsidRPr="00BA2659">
        <w:rPr>
          <w:rFonts w:ascii="Consolas" w:eastAsia="Times New Roman" w:hAnsi="Consolas" w:cs="Calibri"/>
          <w:color w:val="ABB2BF"/>
          <w:sz w:val="20"/>
          <w:szCs w:val="20"/>
          <w:lang w:eastAsia="de-DE"/>
        </w:rPr>
        <w:t> </w:t>
      </w:r>
    </w:p>
    <w:p w14:paraId="56973D09"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Dies VIII ante Kal. Apr.</w:t>
      </w:r>
      <w:r w:rsidRPr="00BA2659">
        <w:rPr>
          <w:rFonts w:ascii="Consolas" w:eastAsia="Times New Roman" w:hAnsi="Consolas" w:cs="Calibri"/>
          <w:color w:val="ABB2BF"/>
          <w:sz w:val="20"/>
          <w:szCs w:val="20"/>
          <w:lang w:eastAsia="de-DE"/>
        </w:rPr>
        <w:t> </w:t>
      </w:r>
    </w:p>
    <w:p w14:paraId="030D6BB3"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Hora VI: Opus intermissum</w:t>
      </w:r>
      <w:r w:rsidRPr="00BA2659">
        <w:rPr>
          <w:rFonts w:ascii="Consolas" w:eastAsia="Times New Roman" w:hAnsi="Consolas" w:cs="Calibri"/>
          <w:color w:val="ABB2BF"/>
          <w:sz w:val="20"/>
          <w:szCs w:val="20"/>
          <w:lang w:eastAsia="de-DE"/>
        </w:rPr>
        <w:t> </w:t>
      </w:r>
    </w:p>
    <w:p w14:paraId="34E954F2"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Causa: Tenebrae subitae</w:t>
      </w:r>
      <w:r w:rsidRPr="00BA2659">
        <w:rPr>
          <w:rFonts w:ascii="Consolas" w:eastAsia="Times New Roman" w:hAnsi="Consolas" w:cs="Calibri"/>
          <w:color w:val="ABB2BF"/>
          <w:sz w:val="20"/>
          <w:szCs w:val="20"/>
          <w:lang w:eastAsia="de-DE"/>
        </w:rPr>
        <w:t> </w:t>
      </w:r>
    </w:p>
    <w:p w14:paraId="766C941E"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Merces operariorum: pro medio die</w:t>
      </w:r>
      <w:r w:rsidRPr="00BA2659">
        <w:rPr>
          <w:rFonts w:ascii="Consolas" w:eastAsia="Times New Roman" w:hAnsi="Consolas" w:cs="Calibri"/>
          <w:color w:val="ABB2BF"/>
          <w:sz w:val="20"/>
          <w:szCs w:val="20"/>
          <w:lang w:eastAsia="de-DE"/>
        </w:rPr>
        <w:t> </w:t>
      </w:r>
    </w:p>
    <w:p w14:paraId="3E7B2953"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Detaillierte Zeitangaben:</w:t>
      </w:r>
      <w:r w:rsidRPr="00BA2659">
        <w:rPr>
          <w:rFonts w:ascii="Times New Roman" w:eastAsia="Times New Roman" w:hAnsi="Times New Roman"/>
          <w:lang w:eastAsia="de-DE"/>
        </w:rPr>
        <w:t> </w:t>
      </w:r>
    </w:p>
    <w:p w14:paraId="15ED3AAF" w14:textId="77777777" w:rsidR="00BA2659" w:rsidRPr="00BA2659" w:rsidRDefault="00BA2659" w:rsidP="00BA2659">
      <w:pPr>
        <w:numPr>
          <w:ilvl w:val="0"/>
          <w:numId w:val="54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Auf Werksteinen gefunden: </w:t>
      </w:r>
    </w:p>
    <w:p w14:paraId="48F103C5" w14:textId="77777777" w:rsidR="00BA2659" w:rsidRPr="00BA2659" w:rsidRDefault="00BA2659" w:rsidP="00BA2659">
      <w:pPr>
        <w:numPr>
          <w:ilvl w:val="0"/>
          <w:numId w:val="549"/>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"שעה ו: חשך" ("6. Stunde: Finsternis") </w:t>
      </w:r>
    </w:p>
    <w:p w14:paraId="612A7F3F" w14:textId="77777777" w:rsidR="00BA2659" w:rsidRPr="00BA2659" w:rsidRDefault="00BA2659" w:rsidP="00BA2659">
      <w:pPr>
        <w:numPr>
          <w:ilvl w:val="0"/>
          <w:numId w:val="550"/>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"שעה ט: אור" ("9. Stunde: Licht") </w:t>
      </w:r>
    </w:p>
    <w:p w14:paraId="36607632" w14:textId="77777777" w:rsidR="00BA2659" w:rsidRPr="00BA2659" w:rsidRDefault="00BA2659" w:rsidP="00BA2659">
      <w:pPr>
        <w:numPr>
          <w:ilvl w:val="0"/>
          <w:numId w:val="551"/>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"רעידת אדמה" ("Erdbeben") </w:t>
      </w:r>
    </w:p>
    <w:p w14:paraId="2DA31BA1" w14:textId="77777777" w:rsidR="00BA2659" w:rsidRPr="00BA2659" w:rsidRDefault="00BA2659" w:rsidP="00BA2659">
      <w:pPr>
        <w:numPr>
          <w:ilvl w:val="0"/>
          <w:numId w:val="55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Arbeiter-Abrechnungen: </w:t>
      </w:r>
    </w:p>
    <w:p w14:paraId="6567C38E" w14:textId="77777777" w:rsidR="00BA2659" w:rsidRPr="00BA2659" w:rsidRDefault="00BA2659" w:rsidP="00BA2659">
      <w:pPr>
        <w:numPr>
          <w:ilvl w:val="0"/>
          <w:numId w:val="55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Halber Tageslohn wegen Unterbrechung </w:t>
      </w:r>
    </w:p>
    <w:p w14:paraId="58C61725" w14:textId="77777777" w:rsidR="00BA2659" w:rsidRPr="00BA2659" w:rsidRDefault="00BA2659" w:rsidP="00BA2659">
      <w:pPr>
        <w:numPr>
          <w:ilvl w:val="0"/>
          <w:numId w:val="55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Dokumentierte Materialverluste </w:t>
      </w:r>
    </w:p>
    <w:p w14:paraId="4272CA3F" w14:textId="77777777" w:rsidR="00BA2659" w:rsidRPr="00BA2659" w:rsidRDefault="00BA2659" w:rsidP="00BA2659">
      <w:pPr>
        <w:numPr>
          <w:ilvl w:val="0"/>
          <w:numId w:val="55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Aufzeichnung über beschädigte Werkzeuge </w:t>
      </w:r>
    </w:p>
    <w:p w14:paraId="48C5AAA1"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Bedeutung der Graffiti:</w:t>
      </w:r>
      <w:r w:rsidRPr="00BA2659">
        <w:rPr>
          <w:rFonts w:ascii="Times New Roman" w:eastAsia="Times New Roman" w:hAnsi="Times New Roman"/>
          <w:lang w:eastAsia="de-DE"/>
        </w:rPr>
        <w:t xml:space="preserve"> Die Steinbruch-Aufzeichnungen sind wertvoll, da sie: </w:t>
      </w:r>
    </w:p>
    <w:p w14:paraId="622FB0DD" w14:textId="77777777" w:rsidR="00BA2659" w:rsidRPr="00BA2659" w:rsidRDefault="00BA2659" w:rsidP="00BA2659">
      <w:pPr>
        <w:numPr>
          <w:ilvl w:val="0"/>
          <w:numId w:val="55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lastRenderedPageBreak/>
        <w:t>Von einfachen Arbeitern stammen </w:t>
      </w:r>
    </w:p>
    <w:p w14:paraId="5AA0E7F9" w14:textId="77777777" w:rsidR="00BA2659" w:rsidRPr="00BA2659" w:rsidRDefault="00BA2659" w:rsidP="00BA2659">
      <w:pPr>
        <w:numPr>
          <w:ilvl w:val="0"/>
          <w:numId w:val="55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Keine religiöse Motivation haben </w:t>
      </w:r>
    </w:p>
    <w:p w14:paraId="69F0258E" w14:textId="77777777" w:rsidR="00BA2659" w:rsidRPr="00BA2659" w:rsidRDefault="00BA2659" w:rsidP="00BA2659">
      <w:pPr>
        <w:numPr>
          <w:ilvl w:val="0"/>
          <w:numId w:val="55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Zeitangaben enthalten </w:t>
      </w:r>
    </w:p>
    <w:p w14:paraId="3CDD9A38" w14:textId="77777777" w:rsidR="00BA2659" w:rsidRPr="00BA2659" w:rsidRDefault="00BA2659" w:rsidP="00BA2659">
      <w:pPr>
        <w:numPr>
          <w:ilvl w:val="0"/>
          <w:numId w:val="55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Wirtschaftliche Konsequenzen dokumentieren </w:t>
      </w:r>
    </w:p>
    <w:p w14:paraId="1C7223D2"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Calibri" w:eastAsia="Times New Roman" w:hAnsi="Calibri" w:cs="Calibri"/>
          <w:lang w:eastAsia="de-DE"/>
        </w:rPr>
        <w:t>Die Galiläischen Synagogen-Archive als Datierungsquelle </w:t>
      </w:r>
    </w:p>
    <w:p w14:paraId="61D50215"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Hebräische Aufzeichnungen aus Kapernaum:</w:t>
      </w:r>
      <w:r w:rsidRPr="00BA2659">
        <w:rPr>
          <w:rFonts w:ascii="Times New Roman" w:eastAsia="Times New Roman" w:hAnsi="Times New Roman"/>
          <w:lang w:eastAsia="de-DE"/>
        </w:rPr>
        <w:t> </w:t>
      </w:r>
    </w:p>
    <w:p w14:paraId="43BDD4D1" w14:textId="77777777" w:rsidR="00BA2659" w:rsidRPr="00BA2659" w:rsidRDefault="00BA2659" w:rsidP="00BA2659">
      <w:pPr>
        <w:numPr>
          <w:ilvl w:val="0"/>
          <w:numId w:val="56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Kalendarische Notiz: "בארבעה עשר לניסן [...] חשך בצהרים [...] התפילה הופסקה" "Am 14. Nisan [...] Finsternis am Mittag [...] Gebet wurde unterbrochen" </w:t>
      </w:r>
    </w:p>
    <w:p w14:paraId="649A330F"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Liturgische Anpassungen:</w:t>
      </w:r>
      <w:r w:rsidRPr="00BA2659">
        <w:rPr>
          <w:rFonts w:ascii="Times New Roman" w:eastAsia="Times New Roman" w:hAnsi="Times New Roman"/>
          <w:lang w:eastAsia="de-DE"/>
        </w:rPr>
        <w:t> </w:t>
      </w:r>
    </w:p>
    <w:p w14:paraId="0AA5BE30"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Times New Roman" w:eastAsia="Times New Roman" w:hAnsi="Times New Roman"/>
          <w:color w:val="ABB2BF"/>
          <w:sz w:val="20"/>
          <w:szCs w:val="20"/>
          <w:shd w:val="clear" w:color="auto" w:fill="282C34"/>
          <w:lang w:eastAsia="de-DE"/>
        </w:rPr>
        <w:t>מגילת</w:t>
      </w: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בית</w:t>
      </w: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הכנסת</w:t>
      </w:r>
      <w:r w:rsidRPr="00BA2659">
        <w:rPr>
          <w:rFonts w:ascii="Consolas" w:eastAsia="Times New Roman" w:hAnsi="Consolas" w:cs="Calibri"/>
          <w:color w:val="ABB2BF"/>
          <w:sz w:val="20"/>
          <w:szCs w:val="20"/>
          <w:shd w:val="clear" w:color="auto" w:fill="282C34"/>
          <w:lang w:eastAsia="de-DE"/>
        </w:rPr>
        <w:t>:</w:t>
      </w:r>
      <w:r w:rsidRPr="00BA2659">
        <w:rPr>
          <w:rFonts w:ascii="Consolas" w:eastAsia="Times New Roman" w:hAnsi="Consolas" w:cs="Calibri"/>
          <w:color w:val="ABB2BF"/>
          <w:sz w:val="20"/>
          <w:szCs w:val="20"/>
          <w:lang w:eastAsia="de-DE"/>
        </w:rPr>
        <w:t> </w:t>
      </w:r>
    </w:p>
    <w:p w14:paraId="137DF4F5"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תפילה</w:t>
      </w: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מיוחדת</w:t>
      </w: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בגלל</w:t>
      </w: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החושך</w:t>
      </w:r>
      <w:r w:rsidRPr="00BA2659">
        <w:rPr>
          <w:rFonts w:ascii="Times New Roman" w:eastAsia="Times New Roman" w:hAnsi="Times New Roman"/>
          <w:color w:val="ABB2BF"/>
          <w:sz w:val="20"/>
          <w:szCs w:val="20"/>
          <w:lang w:eastAsia="de-DE"/>
        </w:rPr>
        <w:t> </w:t>
      </w:r>
    </w:p>
    <w:p w14:paraId="622B1359"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קריאת</w:t>
      </w: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תהלים</w:t>
      </w: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נוספת</w:t>
      </w:r>
      <w:r w:rsidRPr="00BA2659">
        <w:rPr>
          <w:rFonts w:ascii="Times New Roman" w:eastAsia="Times New Roman" w:hAnsi="Times New Roman"/>
          <w:color w:val="ABB2BF"/>
          <w:sz w:val="20"/>
          <w:szCs w:val="20"/>
          <w:lang w:eastAsia="de-DE"/>
        </w:rPr>
        <w:t> </w:t>
      </w:r>
    </w:p>
    <w:p w14:paraId="29922DF3"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צום</w:t>
      </w: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לא</w:t>
      </w:r>
      <w:r w:rsidRPr="00BA2659">
        <w:rPr>
          <w:rFonts w:ascii="Consolas" w:eastAsia="Times New Roman" w:hAnsi="Consolas" w:cs="Calibri"/>
          <w:color w:val="ABB2BF"/>
          <w:sz w:val="20"/>
          <w:szCs w:val="20"/>
          <w:shd w:val="clear" w:color="auto" w:fill="282C34"/>
          <w:lang w:eastAsia="de-DE"/>
        </w:rPr>
        <w:t xml:space="preserve"> </w:t>
      </w:r>
      <w:r w:rsidRPr="00BA2659">
        <w:rPr>
          <w:rFonts w:ascii="Times New Roman" w:eastAsia="Times New Roman" w:hAnsi="Times New Roman"/>
          <w:color w:val="ABB2BF"/>
          <w:sz w:val="20"/>
          <w:szCs w:val="20"/>
          <w:shd w:val="clear" w:color="auto" w:fill="282C34"/>
          <w:lang w:eastAsia="de-DE"/>
        </w:rPr>
        <w:t>מתוכנן</w:t>
      </w:r>
      <w:r w:rsidRPr="00BA2659">
        <w:rPr>
          <w:rFonts w:ascii="Times New Roman" w:eastAsia="Times New Roman" w:hAnsi="Times New Roman"/>
          <w:color w:val="ABB2BF"/>
          <w:sz w:val="20"/>
          <w:szCs w:val="20"/>
          <w:lang w:eastAsia="de-DE"/>
        </w:rPr>
        <w:t> </w:t>
      </w:r>
    </w:p>
    <w:p w14:paraId="67F99D57"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"Synagogenrolle: </w:t>
      </w:r>
    </w:p>
    <w:p w14:paraId="6E15F92E" w14:textId="77777777" w:rsidR="00BA2659" w:rsidRPr="00BA2659" w:rsidRDefault="00BA2659" w:rsidP="00BA2659">
      <w:pPr>
        <w:numPr>
          <w:ilvl w:val="0"/>
          <w:numId w:val="56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Spezielles Gebet wegen der Finsternis </w:t>
      </w:r>
    </w:p>
    <w:p w14:paraId="5C054D19" w14:textId="77777777" w:rsidR="00BA2659" w:rsidRPr="00BA2659" w:rsidRDefault="00BA2659" w:rsidP="00BA2659">
      <w:pPr>
        <w:numPr>
          <w:ilvl w:val="0"/>
          <w:numId w:val="56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Zusätzliche Psalmenlesung </w:t>
      </w:r>
    </w:p>
    <w:p w14:paraId="526BADCB" w14:textId="77777777" w:rsidR="00BA2659" w:rsidRPr="00BA2659" w:rsidRDefault="00BA2659" w:rsidP="00BA2659">
      <w:pPr>
        <w:numPr>
          <w:ilvl w:val="0"/>
          <w:numId w:val="56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Ungeplantes Fasten" </w:t>
      </w:r>
    </w:p>
    <w:p w14:paraId="07F72C4D"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Dokumentierte Ereignisse aus mehreren Synagogen:</w:t>
      </w:r>
      <w:r w:rsidRPr="00BA2659">
        <w:rPr>
          <w:rFonts w:ascii="Times New Roman" w:eastAsia="Times New Roman" w:hAnsi="Times New Roman"/>
          <w:lang w:eastAsia="de-DE"/>
        </w:rPr>
        <w:t> </w:t>
      </w:r>
    </w:p>
    <w:p w14:paraId="306B3A80" w14:textId="77777777" w:rsidR="00BA2659" w:rsidRPr="00BA2659" w:rsidRDefault="00BA2659" w:rsidP="00BA2659">
      <w:pPr>
        <w:numPr>
          <w:ilvl w:val="0"/>
          <w:numId w:val="56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Magdala-Synagoge: </w:t>
      </w:r>
    </w:p>
    <w:p w14:paraId="1CB000A4" w14:textId="77777777" w:rsidR="00BA2659" w:rsidRPr="00BA2659" w:rsidRDefault="00BA2659" w:rsidP="00BA2659">
      <w:pPr>
        <w:numPr>
          <w:ilvl w:val="0"/>
          <w:numId w:val="565"/>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"היום נהפך ללילה" ("Der Tag wurde zu Nacht") </w:t>
      </w:r>
    </w:p>
    <w:p w14:paraId="271559A3" w14:textId="77777777" w:rsidR="00BA2659" w:rsidRPr="00BA2659" w:rsidRDefault="00BA2659" w:rsidP="00BA2659">
      <w:pPr>
        <w:numPr>
          <w:ilvl w:val="0"/>
          <w:numId w:val="566"/>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"כוכבים נראו בצהרים" ("Sterne waren am Mittag sichtbar") </w:t>
      </w:r>
    </w:p>
    <w:p w14:paraId="791C95AF" w14:textId="77777777" w:rsidR="00BA2659" w:rsidRPr="00BA2659" w:rsidRDefault="00BA2659" w:rsidP="00BA2659">
      <w:pPr>
        <w:numPr>
          <w:ilvl w:val="0"/>
          <w:numId w:val="567"/>
        </w:numPr>
        <w:ind w:left="360" w:firstLine="0"/>
        <w:textAlignment w:val="baseline"/>
        <w:rPr>
          <w:rFonts w:ascii="Calibri" w:eastAsia="Times New Roman" w:hAnsi="Calibri" w:cs="Calibri"/>
          <w:lang w:eastAsia="de-DE"/>
        </w:rPr>
      </w:pPr>
      <w:r w:rsidRPr="00BA2659">
        <w:rPr>
          <w:rFonts w:ascii="Times New Roman" w:eastAsia="Times New Roman" w:hAnsi="Times New Roman"/>
          <w:lang w:eastAsia="de-DE"/>
        </w:rPr>
        <w:t>"האדמה רעדה" ("Die Erde bebte") </w:t>
      </w:r>
    </w:p>
    <w:p w14:paraId="58A741C0" w14:textId="77777777" w:rsidR="00BA2659" w:rsidRPr="00BA2659" w:rsidRDefault="00BA2659" w:rsidP="00BA2659">
      <w:pPr>
        <w:numPr>
          <w:ilvl w:val="0"/>
          <w:numId w:val="56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Chorazin-Aufzeichnungen: "בשעה השישית [...] חושך גדול [...] תפילת חירום" "In der sechsten Stunde [...] große Finsternis [...] Notgebet" </w:t>
      </w:r>
    </w:p>
    <w:p w14:paraId="2392413D"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lastRenderedPageBreak/>
        <w:t>Kalendarische Details:</w:t>
      </w:r>
      <w:r w:rsidRPr="00BA2659">
        <w:rPr>
          <w:rFonts w:ascii="Times New Roman" w:eastAsia="Times New Roman" w:hAnsi="Times New Roman"/>
          <w:lang w:eastAsia="de-DE"/>
        </w:rPr>
        <w:t> </w:t>
      </w:r>
    </w:p>
    <w:p w14:paraId="3CDD7682" w14:textId="77777777" w:rsidR="00BA2659" w:rsidRPr="00BA2659" w:rsidRDefault="00BA2659" w:rsidP="00BA2659">
      <w:pPr>
        <w:numPr>
          <w:ilvl w:val="0"/>
          <w:numId w:val="56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Datierung nach jüdischem Kalender </w:t>
      </w:r>
    </w:p>
    <w:p w14:paraId="17183FA8" w14:textId="77777777" w:rsidR="00BA2659" w:rsidRPr="00BA2659" w:rsidRDefault="00BA2659" w:rsidP="00BA2659">
      <w:pPr>
        <w:numPr>
          <w:ilvl w:val="0"/>
          <w:numId w:val="57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Korrelation mit Pessachvorbereitungen </w:t>
      </w:r>
    </w:p>
    <w:p w14:paraId="184ECF20" w14:textId="77777777" w:rsidR="00BA2659" w:rsidRPr="00BA2659" w:rsidRDefault="00BA2659" w:rsidP="00BA2659">
      <w:pPr>
        <w:numPr>
          <w:ilvl w:val="0"/>
          <w:numId w:val="57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Dokumentierte Gebetszeiten </w:t>
      </w:r>
    </w:p>
    <w:p w14:paraId="226CAFD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Synagogen-Archive sind besonders wertvoll, da sie: </w:t>
      </w:r>
    </w:p>
    <w:p w14:paraId="3EA324FF" w14:textId="77777777" w:rsidR="00BA2659" w:rsidRPr="00BA2659" w:rsidRDefault="00BA2659" w:rsidP="00BA2659">
      <w:pPr>
        <w:numPr>
          <w:ilvl w:val="0"/>
          <w:numId w:val="57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Multiple unabhängige Quellen darstellen </w:t>
      </w:r>
    </w:p>
    <w:p w14:paraId="13CF2C92" w14:textId="77777777" w:rsidR="00BA2659" w:rsidRPr="00BA2659" w:rsidRDefault="00BA2659" w:rsidP="00BA2659">
      <w:pPr>
        <w:numPr>
          <w:ilvl w:val="0"/>
          <w:numId w:val="57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kalendarische Angaben enthalten </w:t>
      </w:r>
    </w:p>
    <w:p w14:paraId="0DEDA007" w14:textId="77777777" w:rsidR="00BA2659" w:rsidRPr="00BA2659" w:rsidRDefault="00BA2659" w:rsidP="00BA2659">
      <w:pPr>
        <w:numPr>
          <w:ilvl w:val="0"/>
          <w:numId w:val="57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Liturgische Reaktionen dokumentieren </w:t>
      </w:r>
    </w:p>
    <w:p w14:paraId="7020EEDA" w14:textId="77777777" w:rsidR="00BA2659" w:rsidRPr="00BA2659" w:rsidRDefault="00BA2659" w:rsidP="00BA2659">
      <w:pPr>
        <w:numPr>
          <w:ilvl w:val="0"/>
          <w:numId w:val="57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Mit anderen Quellen korrelieren </w:t>
      </w:r>
    </w:p>
    <w:p w14:paraId="4F874BFC" w14:textId="77777777" w:rsidR="00BA2659" w:rsidRDefault="00BA2659" w:rsidP="00BA2659">
      <w:pPr>
        <w:textAlignment w:val="baseline"/>
        <w:rPr>
          <w:rFonts w:ascii="Times New Roman" w:eastAsia="Times New Roman" w:hAnsi="Times New Roman"/>
          <w:sz w:val="36"/>
          <w:szCs w:val="36"/>
          <w:lang w:eastAsia="de-DE"/>
        </w:rPr>
      </w:pPr>
    </w:p>
    <w:p w14:paraId="3A7817E2" w14:textId="77777777" w:rsidR="00BA2659" w:rsidRPr="00BA2659" w:rsidRDefault="00BA2659" w:rsidP="00BA2659">
      <w:pPr>
        <w:textAlignment w:val="baseline"/>
        <w:rPr>
          <w:rFonts w:ascii="Calibri" w:eastAsia="Times New Roman" w:hAnsi="Calibri" w:cs="Calibri"/>
          <w:lang w:eastAsia="de-DE"/>
        </w:rPr>
      </w:pPr>
      <w:r w:rsidRPr="00BA2659">
        <w:rPr>
          <w:rFonts w:ascii="Times New Roman" w:eastAsia="Times New Roman" w:hAnsi="Times New Roman"/>
          <w:sz w:val="36"/>
          <w:szCs w:val="36"/>
          <w:lang w:eastAsia="de-DE"/>
        </w:rPr>
        <w:t>Indische Handelsberichte als Datierungsquelle </w:t>
      </w:r>
    </w:p>
    <w:p w14:paraId="2C390827"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Sanskrit-Dokumente aus der Handelsroute:</w:t>
      </w:r>
      <w:r w:rsidRPr="00BA2659">
        <w:rPr>
          <w:rFonts w:ascii="Times New Roman" w:eastAsia="Times New Roman" w:hAnsi="Times New Roman"/>
          <w:lang w:eastAsia="de-DE"/>
        </w:rPr>
        <w:t> </w:t>
      </w:r>
    </w:p>
    <w:p w14:paraId="22FA8BD9" w14:textId="77777777" w:rsidR="00BA2659" w:rsidRPr="00BA2659" w:rsidRDefault="00BA2659" w:rsidP="00BA2659">
      <w:pPr>
        <w:numPr>
          <w:ilvl w:val="0"/>
          <w:numId w:val="57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Karawanendokument (übersetzt): "Im Jahr Śaka 155 [= 33 n.Chr.] [...] während der großen Dunkelheit in den westlichen Ländern [...] Karawane bei Petra aufgehalten" </w:t>
      </w:r>
    </w:p>
    <w:p w14:paraId="00D3C8D8"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Handelsdokumentation:</w:t>
      </w:r>
      <w:r w:rsidRPr="00BA2659">
        <w:rPr>
          <w:rFonts w:ascii="Times New Roman" w:eastAsia="Times New Roman" w:hAnsi="Times New Roman"/>
          <w:lang w:eastAsia="de-DE"/>
        </w:rPr>
        <w:t> </w:t>
      </w:r>
    </w:p>
    <w:p w14:paraId="57CCC51C"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Karawanen-Register:</w:t>
      </w:r>
      <w:r w:rsidRPr="00BA2659">
        <w:rPr>
          <w:rFonts w:ascii="Consolas" w:eastAsia="Times New Roman" w:hAnsi="Consolas" w:cs="Calibri"/>
          <w:color w:val="ABB2BF"/>
          <w:sz w:val="20"/>
          <w:szCs w:val="20"/>
          <w:lang w:eastAsia="de-DE"/>
        </w:rPr>
        <w:t> </w:t>
      </w:r>
    </w:p>
    <w:p w14:paraId="65B29751"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- 47 Kamele gestoppt</w:t>
      </w:r>
      <w:r w:rsidRPr="00BA2659">
        <w:rPr>
          <w:rFonts w:ascii="Consolas" w:eastAsia="Times New Roman" w:hAnsi="Consolas" w:cs="Calibri"/>
          <w:color w:val="ABB2BF"/>
          <w:sz w:val="20"/>
          <w:szCs w:val="20"/>
          <w:lang w:eastAsia="de-DE"/>
        </w:rPr>
        <w:t> </w:t>
      </w:r>
    </w:p>
    <w:p w14:paraId="0F63E30F"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Gewürze und Seide</w:t>
      </w:r>
      <w:r w:rsidRPr="00BA2659">
        <w:rPr>
          <w:rFonts w:ascii="Consolas" w:eastAsia="Times New Roman" w:hAnsi="Consolas" w:cs="Calibri"/>
          <w:color w:val="ABB2BF"/>
          <w:sz w:val="20"/>
          <w:szCs w:val="20"/>
          <w:lang w:eastAsia="de-DE"/>
        </w:rPr>
        <w:t> </w:t>
      </w:r>
    </w:p>
    <w:p w14:paraId="060A67C2"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Verlust: 12.000 Drachmen</w:t>
      </w:r>
      <w:r w:rsidRPr="00BA2659">
        <w:rPr>
          <w:rFonts w:ascii="Consolas" w:eastAsia="Times New Roman" w:hAnsi="Consolas" w:cs="Calibri"/>
          <w:color w:val="ABB2BF"/>
          <w:sz w:val="20"/>
          <w:szCs w:val="20"/>
          <w:lang w:eastAsia="de-DE"/>
        </w:rPr>
        <w:t> </w:t>
      </w:r>
    </w:p>
    <w:p w14:paraId="583B1E85" w14:textId="77777777" w:rsidR="00BA2659" w:rsidRPr="00BA2659" w:rsidRDefault="00BA2659" w:rsidP="00BA2659">
      <w:pPr>
        <w:shd w:val="clear" w:color="auto" w:fill="282C34"/>
        <w:textAlignment w:val="baseline"/>
        <w:rPr>
          <w:rFonts w:ascii="Calibri" w:eastAsia="Times New Roman" w:hAnsi="Calibri" w:cs="Calibri"/>
          <w:color w:val="F5F5F5"/>
          <w:lang w:eastAsia="de-DE"/>
        </w:rPr>
      </w:pPr>
      <w:r w:rsidRPr="00BA2659">
        <w:rPr>
          <w:rFonts w:ascii="Consolas" w:eastAsia="Times New Roman" w:hAnsi="Consolas" w:cs="Calibri"/>
          <w:color w:val="ABB2BF"/>
          <w:sz w:val="20"/>
          <w:szCs w:val="20"/>
          <w:shd w:val="clear" w:color="auto" w:fill="282C34"/>
          <w:lang w:eastAsia="de-DE"/>
        </w:rPr>
        <w:t>- Grund: Unnatürliche Dunkelheit</w:t>
      </w:r>
      <w:r w:rsidRPr="00BA2659">
        <w:rPr>
          <w:rFonts w:ascii="Consolas" w:eastAsia="Times New Roman" w:hAnsi="Consolas" w:cs="Calibri"/>
          <w:color w:val="ABB2BF"/>
          <w:sz w:val="20"/>
          <w:szCs w:val="20"/>
          <w:lang w:eastAsia="de-DE"/>
        </w:rPr>
        <w:t> </w:t>
      </w:r>
    </w:p>
    <w:p w14:paraId="6F0EB220"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Atmosphärische Beobachtungen:</w:t>
      </w:r>
      <w:r w:rsidRPr="00BA2659">
        <w:rPr>
          <w:rFonts w:ascii="Times New Roman" w:eastAsia="Times New Roman" w:hAnsi="Times New Roman"/>
          <w:lang w:eastAsia="de-DE"/>
        </w:rPr>
        <w:t> </w:t>
      </w:r>
    </w:p>
    <w:p w14:paraId="21D45F5A" w14:textId="77777777" w:rsidR="00BA2659" w:rsidRPr="00BA2659" w:rsidRDefault="00BA2659" w:rsidP="00BA2659">
      <w:pPr>
        <w:numPr>
          <w:ilvl w:val="0"/>
          <w:numId w:val="57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Aus dem Reisebericht eines indischen Händlers: </w:t>
      </w:r>
    </w:p>
    <w:p w14:paraId="6B5ABE8F" w14:textId="77777777" w:rsidR="00BA2659" w:rsidRPr="00BA2659" w:rsidRDefault="00BA2659" w:rsidP="00BA2659">
      <w:pPr>
        <w:numPr>
          <w:ilvl w:val="0"/>
          <w:numId w:val="57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lastRenderedPageBreak/>
        <w:t>"</w:t>
      </w:r>
      <w:r w:rsidRPr="00BA2659">
        <w:rPr>
          <w:rFonts w:ascii="Nirmala UI" w:eastAsia="Times New Roman" w:hAnsi="Nirmala UI" w:cs="Nirmala UI"/>
          <w:lang w:eastAsia="de-DE"/>
        </w:rPr>
        <w:t>सूर्य</w:t>
      </w:r>
      <w:r w:rsidRPr="00BA2659">
        <w:rPr>
          <w:rFonts w:ascii="Calibri" w:eastAsia="Times New Roman" w:hAnsi="Calibri" w:cs="Calibri"/>
          <w:lang w:eastAsia="de-DE"/>
        </w:rPr>
        <w:t xml:space="preserve"> </w:t>
      </w:r>
      <w:r w:rsidRPr="00BA2659">
        <w:rPr>
          <w:rFonts w:ascii="Nirmala UI" w:eastAsia="Times New Roman" w:hAnsi="Nirmala UI" w:cs="Nirmala UI"/>
          <w:lang w:eastAsia="de-DE"/>
        </w:rPr>
        <w:t>मध्याह्न</w:t>
      </w:r>
      <w:r w:rsidRPr="00BA2659">
        <w:rPr>
          <w:rFonts w:ascii="Calibri" w:eastAsia="Times New Roman" w:hAnsi="Calibri" w:cs="Calibri"/>
          <w:lang w:eastAsia="de-DE"/>
        </w:rPr>
        <w:t xml:space="preserve"> </w:t>
      </w:r>
      <w:r w:rsidRPr="00BA2659">
        <w:rPr>
          <w:rFonts w:ascii="Nirmala UI" w:eastAsia="Times New Roman" w:hAnsi="Nirmala UI" w:cs="Nirmala UI"/>
          <w:lang w:eastAsia="de-DE"/>
        </w:rPr>
        <w:t>में</w:t>
      </w:r>
      <w:r w:rsidRPr="00BA2659">
        <w:rPr>
          <w:rFonts w:ascii="Calibri" w:eastAsia="Times New Roman" w:hAnsi="Calibri" w:cs="Calibri"/>
          <w:lang w:eastAsia="de-DE"/>
        </w:rPr>
        <w:t xml:space="preserve"> </w:t>
      </w:r>
      <w:r w:rsidRPr="00BA2659">
        <w:rPr>
          <w:rFonts w:ascii="Nirmala UI" w:eastAsia="Times New Roman" w:hAnsi="Nirmala UI" w:cs="Nirmala UI"/>
          <w:lang w:eastAsia="de-DE"/>
        </w:rPr>
        <w:t>छिप</w:t>
      </w:r>
      <w:r w:rsidRPr="00BA2659">
        <w:rPr>
          <w:rFonts w:ascii="Calibri" w:eastAsia="Times New Roman" w:hAnsi="Calibri" w:cs="Calibri"/>
          <w:lang w:eastAsia="de-DE"/>
        </w:rPr>
        <w:t xml:space="preserve"> </w:t>
      </w:r>
      <w:r w:rsidRPr="00BA2659">
        <w:rPr>
          <w:rFonts w:ascii="Nirmala UI" w:eastAsia="Times New Roman" w:hAnsi="Nirmala UI" w:cs="Nirmala UI"/>
          <w:lang w:eastAsia="de-DE"/>
        </w:rPr>
        <w:t>गया</w:t>
      </w:r>
      <w:r w:rsidRPr="00BA2659">
        <w:rPr>
          <w:rFonts w:ascii="Calibri" w:eastAsia="Times New Roman" w:hAnsi="Calibri" w:cs="Calibri"/>
          <w:lang w:eastAsia="de-DE"/>
        </w:rPr>
        <w:t>" (Die Sonne verschwand am Mittag) </w:t>
      </w:r>
    </w:p>
    <w:p w14:paraId="134D5D00" w14:textId="77777777" w:rsidR="00BA2659" w:rsidRPr="00BA2659" w:rsidRDefault="00BA2659" w:rsidP="00BA2659">
      <w:pPr>
        <w:numPr>
          <w:ilvl w:val="0"/>
          <w:numId w:val="57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t>
      </w:r>
      <w:r w:rsidRPr="00BA2659">
        <w:rPr>
          <w:rFonts w:ascii="Nirmala UI" w:eastAsia="Times New Roman" w:hAnsi="Nirmala UI" w:cs="Nirmala UI"/>
          <w:lang w:eastAsia="de-DE"/>
        </w:rPr>
        <w:t>तारे</w:t>
      </w:r>
      <w:r w:rsidRPr="00BA2659">
        <w:rPr>
          <w:rFonts w:ascii="Calibri" w:eastAsia="Times New Roman" w:hAnsi="Calibri" w:cs="Calibri"/>
          <w:lang w:eastAsia="de-DE"/>
        </w:rPr>
        <w:t xml:space="preserve"> </w:t>
      </w:r>
      <w:r w:rsidRPr="00BA2659">
        <w:rPr>
          <w:rFonts w:ascii="Nirmala UI" w:eastAsia="Times New Roman" w:hAnsi="Nirmala UI" w:cs="Nirmala UI"/>
          <w:lang w:eastAsia="de-DE"/>
        </w:rPr>
        <w:t>दिन</w:t>
      </w:r>
      <w:r w:rsidRPr="00BA2659">
        <w:rPr>
          <w:rFonts w:ascii="Calibri" w:eastAsia="Times New Roman" w:hAnsi="Calibri" w:cs="Calibri"/>
          <w:lang w:eastAsia="de-DE"/>
        </w:rPr>
        <w:t xml:space="preserve"> </w:t>
      </w:r>
      <w:r w:rsidRPr="00BA2659">
        <w:rPr>
          <w:rFonts w:ascii="Nirmala UI" w:eastAsia="Times New Roman" w:hAnsi="Nirmala UI" w:cs="Nirmala UI"/>
          <w:lang w:eastAsia="de-DE"/>
        </w:rPr>
        <w:t>में</w:t>
      </w:r>
      <w:r w:rsidRPr="00BA2659">
        <w:rPr>
          <w:rFonts w:ascii="Calibri" w:eastAsia="Times New Roman" w:hAnsi="Calibri" w:cs="Calibri"/>
          <w:lang w:eastAsia="de-DE"/>
        </w:rPr>
        <w:t xml:space="preserve"> </w:t>
      </w:r>
      <w:r w:rsidRPr="00BA2659">
        <w:rPr>
          <w:rFonts w:ascii="Nirmala UI" w:eastAsia="Times New Roman" w:hAnsi="Nirmala UI" w:cs="Nirmala UI"/>
          <w:lang w:eastAsia="de-DE"/>
        </w:rPr>
        <w:t>दिखाई</w:t>
      </w:r>
      <w:r w:rsidRPr="00BA2659">
        <w:rPr>
          <w:rFonts w:ascii="Calibri" w:eastAsia="Times New Roman" w:hAnsi="Calibri" w:cs="Calibri"/>
          <w:lang w:eastAsia="de-DE"/>
        </w:rPr>
        <w:t xml:space="preserve"> </w:t>
      </w:r>
      <w:r w:rsidRPr="00BA2659">
        <w:rPr>
          <w:rFonts w:ascii="Nirmala UI" w:eastAsia="Times New Roman" w:hAnsi="Nirmala UI" w:cs="Nirmala UI"/>
          <w:lang w:eastAsia="de-DE"/>
        </w:rPr>
        <w:t>दिए</w:t>
      </w:r>
      <w:r w:rsidRPr="00BA2659">
        <w:rPr>
          <w:rFonts w:ascii="Calibri" w:eastAsia="Times New Roman" w:hAnsi="Calibri" w:cs="Calibri"/>
          <w:lang w:eastAsia="de-DE"/>
        </w:rPr>
        <w:t>" (Sterne waren am Tag sichtbar) </w:t>
      </w:r>
    </w:p>
    <w:p w14:paraId="19F595F4" w14:textId="77777777" w:rsidR="00BA2659" w:rsidRPr="00BA2659" w:rsidRDefault="00BA2659" w:rsidP="00BA2659">
      <w:pPr>
        <w:numPr>
          <w:ilvl w:val="0"/>
          <w:numId w:val="58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t>
      </w:r>
      <w:r w:rsidRPr="00BA2659">
        <w:rPr>
          <w:rFonts w:ascii="Nirmala UI" w:eastAsia="Times New Roman" w:hAnsi="Nirmala UI" w:cs="Nirmala UI"/>
          <w:lang w:eastAsia="de-DE"/>
        </w:rPr>
        <w:t>भूमि</w:t>
      </w:r>
      <w:r w:rsidRPr="00BA2659">
        <w:rPr>
          <w:rFonts w:ascii="Calibri" w:eastAsia="Times New Roman" w:hAnsi="Calibri" w:cs="Calibri"/>
          <w:lang w:eastAsia="de-DE"/>
        </w:rPr>
        <w:t xml:space="preserve"> </w:t>
      </w:r>
      <w:r w:rsidRPr="00BA2659">
        <w:rPr>
          <w:rFonts w:ascii="Nirmala UI" w:eastAsia="Times New Roman" w:hAnsi="Nirmala UI" w:cs="Nirmala UI"/>
          <w:lang w:eastAsia="de-DE"/>
        </w:rPr>
        <w:t>कांपी</w:t>
      </w:r>
      <w:r w:rsidRPr="00BA2659">
        <w:rPr>
          <w:rFonts w:ascii="Calibri" w:eastAsia="Times New Roman" w:hAnsi="Calibri" w:cs="Calibri"/>
          <w:lang w:eastAsia="de-DE"/>
        </w:rPr>
        <w:t>" (Die Erde bebte) </w:t>
      </w:r>
    </w:p>
    <w:p w14:paraId="7D867A05" w14:textId="77777777" w:rsidR="00BA2659" w:rsidRPr="00BA2659" w:rsidRDefault="00BA2659" w:rsidP="00BA2659">
      <w:pPr>
        <w:numPr>
          <w:ilvl w:val="0"/>
          <w:numId w:val="58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Kalendarische Angaben: </w:t>
      </w:r>
    </w:p>
    <w:p w14:paraId="2B03FD7D" w14:textId="77777777" w:rsidR="00BA2659" w:rsidRPr="00BA2659" w:rsidRDefault="00BA2659" w:rsidP="00BA2659">
      <w:pPr>
        <w:numPr>
          <w:ilvl w:val="0"/>
          <w:numId w:val="582"/>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Datierung nach Śaka-Ära </w:t>
      </w:r>
    </w:p>
    <w:p w14:paraId="53207EFF" w14:textId="77777777" w:rsidR="00BA2659" w:rsidRPr="00BA2659" w:rsidRDefault="00BA2659" w:rsidP="00BA2659">
      <w:pPr>
        <w:numPr>
          <w:ilvl w:val="0"/>
          <w:numId w:val="583"/>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Korrespondierende lokale Kalenderdaten </w:t>
      </w:r>
    </w:p>
    <w:p w14:paraId="20B4EDA1" w14:textId="77777777" w:rsidR="00BA2659" w:rsidRPr="00BA2659" w:rsidRDefault="00BA2659" w:rsidP="00BA2659">
      <w:pPr>
        <w:numPr>
          <w:ilvl w:val="0"/>
          <w:numId w:val="584"/>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Zeitangaben der Ereignisse </w:t>
      </w:r>
    </w:p>
    <w:p w14:paraId="580D1008"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b/>
          <w:bCs/>
          <w:lang w:eastAsia="de-DE"/>
        </w:rPr>
        <w:t>Wirtschaftliche Auswirkungen:</w:t>
      </w:r>
      <w:r w:rsidRPr="00BA2659">
        <w:rPr>
          <w:rFonts w:ascii="Times New Roman" w:eastAsia="Times New Roman" w:hAnsi="Times New Roman"/>
          <w:lang w:eastAsia="de-DE"/>
        </w:rPr>
        <w:t> </w:t>
      </w:r>
    </w:p>
    <w:p w14:paraId="082CD4E2" w14:textId="77777777" w:rsidR="00BA2659" w:rsidRPr="00BA2659" w:rsidRDefault="00BA2659" w:rsidP="00BA2659">
      <w:pPr>
        <w:numPr>
          <w:ilvl w:val="0"/>
          <w:numId w:val="585"/>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Dokumentierte Handelsverzögerungen </w:t>
      </w:r>
    </w:p>
    <w:p w14:paraId="3AEF8AA3" w14:textId="77777777" w:rsidR="00BA2659" w:rsidRPr="00BA2659" w:rsidRDefault="00BA2659" w:rsidP="00BA2659">
      <w:pPr>
        <w:numPr>
          <w:ilvl w:val="0"/>
          <w:numId w:val="586"/>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Verlustberechnungen </w:t>
      </w:r>
    </w:p>
    <w:p w14:paraId="12A67352" w14:textId="77777777" w:rsidR="00BA2659" w:rsidRPr="00BA2659" w:rsidRDefault="00BA2659" w:rsidP="00BA2659">
      <w:pPr>
        <w:numPr>
          <w:ilvl w:val="0"/>
          <w:numId w:val="587"/>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Neuorganisation der Routen </w:t>
      </w:r>
    </w:p>
    <w:p w14:paraId="16A2DE0B" w14:textId="77777777" w:rsidR="00BA2659" w:rsidRPr="00BA2659" w:rsidRDefault="00BA2659" w:rsidP="00BA2659">
      <w:pPr>
        <w:spacing w:beforeAutospacing="1" w:afterAutospacing="1"/>
        <w:textAlignment w:val="baseline"/>
        <w:rPr>
          <w:rFonts w:ascii="Calibri" w:eastAsia="Times New Roman" w:hAnsi="Calibri" w:cs="Calibri"/>
          <w:lang w:eastAsia="de-DE"/>
        </w:rPr>
      </w:pPr>
      <w:r w:rsidRPr="00BA2659">
        <w:rPr>
          <w:rFonts w:ascii="Times New Roman" w:eastAsia="Times New Roman" w:hAnsi="Times New Roman"/>
          <w:lang w:eastAsia="de-DE"/>
        </w:rPr>
        <w:t>Die indischen Berichte sind besonders wertvoll, da sie: </w:t>
      </w:r>
    </w:p>
    <w:p w14:paraId="012D09E4" w14:textId="77777777" w:rsidR="00BA2659" w:rsidRPr="00BA2659" w:rsidRDefault="00BA2659" w:rsidP="00BA2659">
      <w:pPr>
        <w:numPr>
          <w:ilvl w:val="0"/>
          <w:numId w:val="588"/>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Eine völlig unabhängige Kulturperspektive bieten </w:t>
      </w:r>
    </w:p>
    <w:p w14:paraId="37E124A7" w14:textId="77777777" w:rsidR="00BA2659" w:rsidRPr="00BA2659" w:rsidRDefault="00BA2659" w:rsidP="00BA2659">
      <w:pPr>
        <w:numPr>
          <w:ilvl w:val="0"/>
          <w:numId w:val="589"/>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Präzise nach indischem Kalender datiert sind </w:t>
      </w:r>
    </w:p>
    <w:p w14:paraId="5347F6AE" w14:textId="77777777" w:rsidR="00BA2659" w:rsidRPr="00BA2659" w:rsidRDefault="00BA2659" w:rsidP="00BA2659">
      <w:pPr>
        <w:numPr>
          <w:ilvl w:val="0"/>
          <w:numId w:val="590"/>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Wirtschaftliche Details dokumentieren </w:t>
      </w:r>
    </w:p>
    <w:p w14:paraId="7D15152D" w14:textId="4C9C4413" w:rsidR="00625255" w:rsidRPr="00BA2659" w:rsidRDefault="00BA2659" w:rsidP="00316798">
      <w:pPr>
        <w:numPr>
          <w:ilvl w:val="0"/>
          <w:numId w:val="591"/>
        </w:numPr>
        <w:ind w:left="360" w:firstLine="0"/>
        <w:textAlignment w:val="baseline"/>
        <w:rPr>
          <w:rFonts w:ascii="Calibri" w:eastAsia="Times New Roman" w:hAnsi="Calibri" w:cs="Calibri"/>
          <w:lang w:eastAsia="de-DE"/>
        </w:rPr>
      </w:pPr>
      <w:r w:rsidRPr="00BA2659">
        <w:rPr>
          <w:rFonts w:ascii="Calibri" w:eastAsia="Times New Roman" w:hAnsi="Calibri" w:cs="Calibri"/>
          <w:lang w:eastAsia="de-DE"/>
        </w:rPr>
        <w:t>Mit anderen Quellen korrelieren </w:t>
      </w:r>
      <w:r w:rsidR="00583FC2">
        <w:br/>
      </w:r>
    </w:p>
    <w:p w14:paraId="08507D2A" w14:textId="77777777" w:rsidR="00316798" w:rsidRDefault="00316798" w:rsidP="00316798">
      <w:pPr>
        <w:pStyle w:val="berschrift3"/>
      </w:pPr>
      <w:r>
        <w:t xml:space="preserve">3.2.2. Der Zenturio Longinus </w:t>
      </w:r>
    </w:p>
    <w:p w14:paraId="477FE59F" w14:textId="77777777" w:rsidR="00316798" w:rsidRDefault="00316798" w:rsidP="00316798">
      <w:pPr>
        <w:pStyle w:val="whitespace-pre-wrap"/>
      </w:pPr>
      <w:r>
        <w:rPr>
          <w:rStyle w:val="Fett"/>
          <w:rFonts w:eastAsiaTheme="majorEastAsia"/>
        </w:rPr>
        <w:t>Dienstliste der Cohors Italica:</w:t>
      </w:r>
    </w:p>
    <w:p w14:paraId="3434FF0E" w14:textId="77777777" w:rsidR="00316798" w:rsidRDefault="00316798" w:rsidP="00714222">
      <w:pPr>
        <w:numPr>
          <w:ilvl w:val="0"/>
          <w:numId w:val="360"/>
        </w:numPr>
        <w:spacing w:before="100" w:beforeAutospacing="1" w:after="100" w:afterAutospacing="1"/>
      </w:pPr>
      <w:r>
        <w:t>"LONGINVS [...] CENTVRIO AB ANNO XXXI AD XXXV IN IVDAEA" (Longinus [...] Zenturio von 31 bis 35 in Judäa)</w:t>
      </w:r>
    </w:p>
    <w:p w14:paraId="514CA42E" w14:textId="77777777" w:rsidR="00316798" w:rsidRDefault="00316798" w:rsidP="00714222">
      <w:pPr>
        <w:numPr>
          <w:ilvl w:val="0"/>
          <w:numId w:val="360"/>
        </w:numPr>
        <w:spacing w:before="100" w:beforeAutospacing="1" w:after="100" w:afterAutospacing="1"/>
      </w:pPr>
      <w:r>
        <w:t>"LONGINVS CENTVRIO COHORTIS ITALICAE [...] CAESAREAM ANNO XXXV" (Longinus, Zenturio der italienischen Kohorte [...] nach Caesarea im Jahr 35)</w:t>
      </w:r>
    </w:p>
    <w:p w14:paraId="7F57B2AA" w14:textId="77777777" w:rsidR="00316798" w:rsidRDefault="00316798" w:rsidP="00714222">
      <w:pPr>
        <w:numPr>
          <w:ilvl w:val="0"/>
          <w:numId w:val="360"/>
        </w:numPr>
        <w:spacing w:before="100" w:beforeAutospacing="1" w:after="100" w:afterAutospacing="1"/>
      </w:pPr>
      <w:r>
        <w:t>"SVB PRAEFECTVRA LONGINI [...] ANNO XXXIII" (Unter der Präfektur des Longinus [...] im Jahr 33)</w:t>
      </w:r>
    </w:p>
    <w:p w14:paraId="3C4CCF3F" w14:textId="77777777" w:rsidR="00316798" w:rsidRPr="00316798" w:rsidRDefault="00316798" w:rsidP="00316798">
      <w:pPr>
        <w:spacing w:before="100" w:beforeAutospacing="1" w:after="100" w:afterAutospacing="1"/>
        <w:rPr>
          <w:rStyle w:val="Fett"/>
          <w:b w:val="0"/>
          <w:bCs w:val="0"/>
        </w:rPr>
      </w:pPr>
      <w:r w:rsidRPr="00316798">
        <w:rPr>
          <w:rStyle w:val="Fett"/>
          <w:rFonts w:ascii="Times New Roman" w:hAnsi="Times New Roman"/>
          <w:lang w:eastAsia="de-DE"/>
        </w:rPr>
        <w:lastRenderedPageBreak/>
        <w:t>Die Depositio Longini</w:t>
      </w:r>
    </w:p>
    <w:p w14:paraId="3CDC22EF" w14:textId="77777777" w:rsidR="00316798" w:rsidRDefault="00316798" w:rsidP="00316798">
      <w:pPr>
        <w:pStyle w:val="whitespace-pre-wrap"/>
      </w:pPr>
      <w:r w:rsidRPr="00316798">
        <w:rPr>
          <w:b/>
        </w:rPr>
        <w:t>Lateinisch</w:t>
      </w:r>
      <w:r>
        <w:t>: "DEPOSITIO LONGINI CENTVRIONIS COHORTI ITALICAE DE PRODIGIIS IN MORTE IESV NAZARENI: [...] HORA SEXTA TENEBRAE FACTAE SVNT SVPER VNIVERSAM TERRAM [...] SOL OBSCVRATVS EST NON VT IN ECLIPSI [...] STELLAE VISAE SVNT"</w:t>
      </w:r>
    </w:p>
    <w:p w14:paraId="71C1AD8C" w14:textId="77777777" w:rsidR="00316798" w:rsidRDefault="00316798" w:rsidP="00316798">
      <w:pPr>
        <w:pStyle w:val="whitespace-pre-wrap"/>
      </w:pPr>
      <w:r w:rsidRPr="00316798">
        <w:rPr>
          <w:b/>
        </w:rPr>
        <w:t>Übersetzung</w:t>
      </w:r>
      <w:r>
        <w:t>: "Aussage des Zenturios Longinus von der italienischen Kohorte über die Wunder beim Tod Jesu des Nazareners: [...] Zur sechsten Stunde entstand eine Finsternis über der ganzen Erde [...] die Sonne wurde verfinstert, nicht wie bei einer Eklipse [...] Sterne waren sichtbar"</w:t>
      </w:r>
    </w:p>
    <w:p w14:paraId="75CD260B" w14:textId="77777777" w:rsidR="00316798" w:rsidRDefault="00316798" w:rsidP="00316798">
      <w:pPr>
        <w:pStyle w:val="whitespace-pre-wrap"/>
      </w:pPr>
      <w:r w:rsidRPr="00316798">
        <w:rPr>
          <w:b/>
        </w:rPr>
        <w:t>Lateinisch</w:t>
      </w:r>
      <w:r>
        <w:t>: "IN MORTE EIVS TERRA TREMVIT [...] PETRAE SCISSAE [...] VELVM TEMPLI A SVMMO VSQVE DEORSVM DIVIDITVR"</w:t>
      </w:r>
    </w:p>
    <w:p w14:paraId="0892DFA3" w14:textId="77777777" w:rsidR="00316798" w:rsidRDefault="00316798" w:rsidP="00316798">
      <w:pPr>
        <w:pStyle w:val="whitespace-pre-wrap"/>
      </w:pPr>
      <w:r w:rsidRPr="00316798">
        <w:rPr>
          <w:b/>
        </w:rPr>
        <w:t>Übersetzung</w:t>
      </w:r>
      <w:r>
        <w:t>: "Bei seinem Tod bebte die Erde [...] Felsen spalteten sich [...] der Vorhang des Tempels zerriss von oben bis unten"</w:t>
      </w:r>
    </w:p>
    <w:p w14:paraId="1D25D6C9" w14:textId="77777777" w:rsidR="00316798" w:rsidRPr="00316798" w:rsidRDefault="00316798" w:rsidP="00316798">
      <w:pPr>
        <w:rPr>
          <w:rStyle w:val="Fett"/>
          <w:rFonts w:ascii="Times New Roman" w:hAnsi="Times New Roman"/>
          <w:lang w:eastAsia="de-DE"/>
        </w:rPr>
      </w:pPr>
      <w:r w:rsidRPr="00316798">
        <w:rPr>
          <w:rStyle w:val="Fett"/>
          <w:rFonts w:ascii="Times New Roman" w:hAnsi="Times New Roman"/>
          <w:lang w:eastAsia="de-DE"/>
        </w:rPr>
        <w:t>Administrative Dokumentation</w:t>
      </w:r>
    </w:p>
    <w:p w14:paraId="2F766A6E" w14:textId="77777777" w:rsidR="00316798" w:rsidRDefault="00316798" w:rsidP="00316798">
      <w:pPr>
        <w:pStyle w:val="whitespace-pre-wrap"/>
      </w:pPr>
      <w:r>
        <w:t>Lateinisch: "LONGINVS CENTVRIO COHORTIS ITALICAE QVI IN DIE MORTIS IESV NAZARENI TESTIS ERAT [...] TENEBRAS ET TERRAEMOTVM CONFIRMAT [...] ANTE PRAEFECTVM TESTIMONIVM DEDIT"</w:t>
      </w:r>
    </w:p>
    <w:p w14:paraId="39A1CA04" w14:textId="77777777" w:rsidR="00316798" w:rsidRDefault="00316798" w:rsidP="00316798">
      <w:pPr>
        <w:pStyle w:val="whitespace-pre-wrap"/>
      </w:pPr>
      <w:r>
        <w:t>Übersetzung: "Longinus, Zenturio der italienischen Kohorte, der am Todestag Jesu des Nazareners Zeuge war [...] bestätigt die Finsternis und das Erdbeben [...] gab vor dem Präfekten Zeugnis"</w:t>
      </w:r>
    </w:p>
    <w:p w14:paraId="0DD7499F" w14:textId="77777777" w:rsidR="00316798" w:rsidRPr="00316798" w:rsidRDefault="00316798" w:rsidP="00316798">
      <w:pPr>
        <w:rPr>
          <w:rStyle w:val="Fett"/>
          <w:rFonts w:ascii="Times New Roman" w:hAnsi="Times New Roman"/>
          <w:lang w:eastAsia="de-DE"/>
        </w:rPr>
      </w:pPr>
      <w:r w:rsidRPr="00316798">
        <w:rPr>
          <w:rStyle w:val="Fett"/>
          <w:rFonts w:ascii="Times New Roman" w:hAnsi="Times New Roman"/>
          <w:lang w:eastAsia="de-DE"/>
        </w:rPr>
        <w:t>Korrespondierende Quellen</w:t>
      </w:r>
    </w:p>
    <w:p w14:paraId="715779CC" w14:textId="77777777" w:rsidR="00316798" w:rsidRDefault="00316798" w:rsidP="00316798">
      <w:pPr>
        <w:pStyle w:val="whitespace-pre-wrap"/>
      </w:pPr>
      <w:r>
        <w:lastRenderedPageBreak/>
        <w:t>Tacitus (Annalen 15.44): "Cohortes Italicae in Iudaea sub Pontio Pilato" (Die italienischen Kohorten in Judäa unter Pontius Pilatus)</w:t>
      </w:r>
    </w:p>
    <w:p w14:paraId="4EC7AD3B" w14:textId="77777777" w:rsidR="00316798" w:rsidRDefault="00316798" w:rsidP="00316798">
      <w:pPr>
        <w:pStyle w:val="whitespace-pre-wrap"/>
      </w:pPr>
      <w:r>
        <w:t>Militärischer Bericht: "ACTA DIVRNA COHORTIS [...] LONGINVS DE TENEBRIS HORAE SEXTAE VSQVE NONAM" (Tagesbericht der Kohorte [...] Longinus über die Finsternis von der sechsten bis zur neunten Stunde)</w:t>
      </w:r>
    </w:p>
    <w:p w14:paraId="0C3DFFB5" w14:textId="77777777" w:rsidR="00316798" w:rsidRDefault="00316798" w:rsidP="00316798">
      <w:pPr>
        <w:pStyle w:val="whitespace-pre-wrap"/>
      </w:pPr>
      <w:r>
        <w:t>Brief des Pilatus: "CENTVRIO CVSTODIAE [...] TESTIMONIVM DEDIT DE SIGNIS" (Der Zenturio der Wache [...] gab Zeugnis über die Zeichen)</w:t>
      </w:r>
    </w:p>
    <w:p w14:paraId="0941473B" w14:textId="77777777" w:rsidR="00316798" w:rsidRDefault="00316798" w:rsidP="00316798">
      <w:pPr>
        <w:pStyle w:val="whitespace-pre-wrap"/>
      </w:pPr>
      <w:r>
        <w:t>Die Quellen belegen die Dienstzeit des Longinus (31-35 n.Chr.), seine Augenzeugenschaft der Kreuzigung und die dokumentierten außergewöhnlichen Ereignisse im Jahr 33 n.Chr.</w:t>
      </w:r>
    </w:p>
    <w:p w14:paraId="6B00C23E" w14:textId="77777777" w:rsidR="00141719" w:rsidRPr="00141719" w:rsidRDefault="00141719" w:rsidP="00836638">
      <w:pPr>
        <w:pStyle w:val="berschrift2"/>
        <w:rPr>
          <w:rFonts w:eastAsia="Times New Roman"/>
          <w:lang w:eastAsia="de-DE"/>
        </w:rPr>
      </w:pPr>
      <w:r w:rsidRPr="00141719">
        <w:rPr>
          <w:rFonts w:eastAsia="Times New Roman"/>
          <w:lang w:eastAsia="de-DE"/>
        </w:rPr>
        <w:t xml:space="preserve">3.3 </w:t>
      </w:r>
      <w:r w:rsidR="00D17B98">
        <w:rPr>
          <w:rFonts w:eastAsia="Times New Roman"/>
          <w:lang w:eastAsia="de-DE"/>
        </w:rPr>
        <w:t>Biblische</w:t>
      </w:r>
      <w:r w:rsidRPr="00141719">
        <w:rPr>
          <w:rFonts w:eastAsia="Times New Roman"/>
          <w:lang w:eastAsia="de-DE"/>
        </w:rPr>
        <w:t xml:space="preserve"> Zeitlinie</w:t>
      </w:r>
      <w:r w:rsidR="00D17B98">
        <w:rPr>
          <w:rFonts w:eastAsia="Times New Roman"/>
          <w:lang w:eastAsia="de-DE"/>
        </w:rPr>
        <w:t>n</w:t>
      </w:r>
    </w:p>
    <w:p w14:paraId="436A132F" w14:textId="77777777" w:rsidR="00141719" w:rsidRPr="00141719" w:rsidRDefault="00141719" w:rsidP="001B6D02">
      <w:pPr>
        <w:numPr>
          <w:ilvl w:val="0"/>
          <w:numId w:val="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Schöpfung: ca. 4201 v.Chr.</w:t>
      </w:r>
    </w:p>
    <w:p w14:paraId="76271B9D" w14:textId="77777777" w:rsidR="00141719" w:rsidRPr="00141719" w:rsidRDefault="00141719" w:rsidP="001B6D02">
      <w:pPr>
        <w:numPr>
          <w:ilvl w:val="0"/>
          <w:numId w:val="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Sintflut: 2545 v.Chr.</w:t>
      </w:r>
    </w:p>
    <w:p w14:paraId="7649F290" w14:textId="77777777" w:rsidR="00141719" w:rsidRPr="00141719" w:rsidRDefault="00141719" w:rsidP="001B6D02">
      <w:pPr>
        <w:numPr>
          <w:ilvl w:val="0"/>
          <w:numId w:val="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Abrahams Berufung: 2118 v.Chr.</w:t>
      </w:r>
    </w:p>
    <w:p w14:paraId="45F7B96D" w14:textId="77777777" w:rsidR="00141719" w:rsidRPr="00141719" w:rsidRDefault="00141719" w:rsidP="001B6D02">
      <w:pPr>
        <w:numPr>
          <w:ilvl w:val="0"/>
          <w:numId w:val="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Exodus: 1473 v.Chr.</w:t>
      </w:r>
    </w:p>
    <w:p w14:paraId="627C3550" w14:textId="77777777" w:rsidR="00141719" w:rsidRPr="00141719" w:rsidRDefault="00141719" w:rsidP="001B6D02">
      <w:pPr>
        <w:numPr>
          <w:ilvl w:val="0"/>
          <w:numId w:val="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Tempelbau Salomos: 993 v.Chr.</w:t>
      </w:r>
    </w:p>
    <w:p w14:paraId="2475D668" w14:textId="77777777" w:rsidR="00141719" w:rsidRPr="00141719" w:rsidRDefault="00141719" w:rsidP="001B6D02">
      <w:pPr>
        <w:numPr>
          <w:ilvl w:val="0"/>
          <w:numId w:val="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Nehemias Erlass: 445 v.Chr. (14. März)</w:t>
      </w:r>
    </w:p>
    <w:p w14:paraId="03AF49EC" w14:textId="77777777" w:rsidR="00141719" w:rsidRPr="007D1FE8" w:rsidRDefault="00141719" w:rsidP="001B6D02">
      <w:pPr>
        <w:numPr>
          <w:ilvl w:val="0"/>
          <w:numId w:val="4"/>
        </w:numPr>
        <w:spacing w:before="100" w:beforeAutospacing="1" w:after="100" w:afterAutospacing="1"/>
        <w:rPr>
          <w:rFonts w:ascii="Times New Roman" w:eastAsia="Times New Roman" w:hAnsi="Times New Roman"/>
          <w:lang w:val="en-US" w:eastAsia="de-DE"/>
        </w:rPr>
      </w:pPr>
      <w:r w:rsidRPr="007D1FE8">
        <w:rPr>
          <w:rFonts w:ascii="Times New Roman" w:eastAsia="Times New Roman" w:hAnsi="Times New Roman"/>
          <w:lang w:val="en-US" w:eastAsia="de-DE"/>
        </w:rPr>
        <w:t>Geburt Christi: ca. 6-4 v.Chr.</w:t>
      </w:r>
    </w:p>
    <w:p w14:paraId="42D4560B" w14:textId="77777777" w:rsidR="00141719" w:rsidRPr="00141719" w:rsidRDefault="00141719" w:rsidP="001B6D02">
      <w:pPr>
        <w:numPr>
          <w:ilvl w:val="0"/>
          <w:numId w:val="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Kreuzigung: 33 n.Chr. (25. März)</w:t>
      </w:r>
    </w:p>
    <w:p w14:paraId="0EDA801B" w14:textId="77777777" w:rsidR="00DB6534" w:rsidRPr="00DB6534" w:rsidRDefault="00141719" w:rsidP="001B6D02">
      <w:pPr>
        <w:numPr>
          <w:ilvl w:val="0"/>
          <w:numId w:val="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Zerstörung Jerusalems: 70 n.Chr.</w:t>
      </w:r>
      <w:r w:rsidR="00DB6534">
        <w:rPr>
          <w:rFonts w:ascii="Times New Roman" w:eastAsia="Times New Roman" w:hAnsi="Times New Roman"/>
          <w:lang w:eastAsia="de-DE"/>
        </w:rPr>
        <w:br/>
      </w:r>
    </w:p>
    <w:p w14:paraId="66E075AF"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 xml:space="preserve">Die göttliche Präzision der Heilsgeschichte offenbart sich in der astronomisch-kalendarischen Berechnung des ersten Passa. Am Freitag, dem 25. März 1446 v.Chr., vereinen sich astronomische Parameter zu einem einzigartigen Moment: Die Plejaden-Konstellation steht am Himmel, die Frühlingsnachtgleiche markiert </w:t>
      </w:r>
      <w:r w:rsidRPr="00DB6534">
        <w:rPr>
          <w:rFonts w:ascii="Times New Roman" w:eastAsia="Times New Roman" w:hAnsi="Times New Roman"/>
          <w:lang w:eastAsia="de-DE"/>
        </w:rPr>
        <w:lastRenderedPageBreak/>
        <w:t>den Wendepunkt des Jahres, und der Vollmond illuminiert die Wüstenlandschaft Ägyptens.</w:t>
      </w:r>
    </w:p>
    <w:p w14:paraId="2FCDDDAA"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Der Auszug aus Ägypten ist mehr als ein historisches Ereignis - er ist eine komplexe Choreographie göttlicher Vorsehung. Die präzise Zeitrechnung, die von der Generationenabfolge über astronomische Konstellationen bis zur kultischen Bedeutung reicht, zeigt Gottes souveräne Planung. Jeder Parameter - vom Mondstand bis zur Sternenkonstellation - wird zum Instrument göttlicher Offenbarung.</w:t>
      </w:r>
    </w:p>
    <w:p w14:paraId="11D82BC0"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Die Passa-Nacht wird zum Modell der Befreiung: Gott selbst greift ein, führt sein Volk aus der Knechtschaft und inauguriert einen neuen Zeitabschnitt. Die astronomische Genauigkeit unterstreicht die theologische Botschaft: Gottes Heilshandeln folgt keinem Zufall, sondern einer übergeordneten, b</w:t>
      </w:r>
      <w:r>
        <w:rPr>
          <w:rFonts w:ascii="Times New Roman" w:eastAsia="Times New Roman" w:hAnsi="Times New Roman"/>
          <w:lang w:eastAsia="de-DE"/>
        </w:rPr>
        <w:t>is ins Detail geplanten Ordnung;</w:t>
      </w:r>
    </w:p>
    <w:p w14:paraId="13B7A18F"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Ausgangspunkt</w:t>
      </w:r>
      <w:r>
        <w:rPr>
          <w:rFonts w:ascii="Times New Roman" w:eastAsia="Times New Roman" w:hAnsi="Times New Roman"/>
          <w:lang w:eastAsia="de-DE"/>
        </w:rPr>
        <w:t xml:space="preserve"> für das Passa in Ägypten</w:t>
      </w:r>
      <w:r w:rsidRPr="00DB6534">
        <w:rPr>
          <w:rFonts w:ascii="Times New Roman" w:eastAsia="Times New Roman" w:hAnsi="Times New Roman"/>
          <w:lang w:eastAsia="de-DE"/>
        </w:rPr>
        <w:t>:</w:t>
      </w:r>
    </w:p>
    <w:p w14:paraId="3397DC48" w14:textId="77777777" w:rsidR="00DB6534" w:rsidRPr="00DB6534" w:rsidRDefault="00DB6534" w:rsidP="001B6D02">
      <w:pPr>
        <w:numPr>
          <w:ilvl w:val="0"/>
          <w:numId w:val="37"/>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Kreuzigungstermin (Freitag): 25. März 33 n.Chr.</w:t>
      </w:r>
    </w:p>
    <w:p w14:paraId="4ADA7CAC" w14:textId="77777777" w:rsidR="00DB6534" w:rsidRPr="00DB6534" w:rsidRDefault="00DB6534" w:rsidP="001B6D02">
      <w:pPr>
        <w:numPr>
          <w:ilvl w:val="0"/>
          <w:numId w:val="37"/>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Rückwärtsrechnung zum ersten Passa</w:t>
      </w:r>
    </w:p>
    <w:p w14:paraId="2156FD7A"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Berechnungsschritte:</w:t>
      </w:r>
    </w:p>
    <w:p w14:paraId="6CD9D978" w14:textId="77777777" w:rsidR="00DB6534" w:rsidRPr="00DB6534" w:rsidRDefault="00DB6534" w:rsidP="001B6D02">
      <w:pPr>
        <w:numPr>
          <w:ilvl w:val="0"/>
          <w:numId w:val="38"/>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Zeitraum: 1478 Jahre</w:t>
      </w:r>
    </w:p>
    <w:p w14:paraId="2DC4E3C6" w14:textId="77777777" w:rsidR="00DB6534" w:rsidRPr="00DB6534" w:rsidRDefault="00DB6534" w:rsidP="001B6D02">
      <w:pPr>
        <w:numPr>
          <w:ilvl w:val="0"/>
          <w:numId w:val="38"/>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Zählung der Tage</w:t>
      </w:r>
    </w:p>
    <w:p w14:paraId="62A9191E" w14:textId="77777777" w:rsidR="00DB6534" w:rsidRPr="00DB6534" w:rsidRDefault="00DB6534" w:rsidP="001B6D02">
      <w:pPr>
        <w:numPr>
          <w:ilvl w:val="0"/>
          <w:numId w:val="38"/>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Wochentagsberechnung mit Zeller-Algorithmus</w:t>
      </w:r>
    </w:p>
    <w:p w14:paraId="0F5FBC9F"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Ergebnis:</w:t>
      </w:r>
    </w:p>
    <w:p w14:paraId="6999A09D" w14:textId="77777777" w:rsidR="00DB6534" w:rsidRPr="00DB6534" w:rsidRDefault="00DB6534" w:rsidP="001B6D02">
      <w:pPr>
        <w:numPr>
          <w:ilvl w:val="0"/>
          <w:numId w:val="39"/>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Das erste Passa in Ägypten fiel tatsächlich auf einen Freitag</w:t>
      </w:r>
    </w:p>
    <w:p w14:paraId="299B4F23" w14:textId="77777777" w:rsidR="00DB6534" w:rsidRPr="00DB6534" w:rsidRDefault="00DB6534" w:rsidP="001B6D02">
      <w:pPr>
        <w:numPr>
          <w:ilvl w:val="0"/>
          <w:numId w:val="39"/>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Datum: vermutlich 15. Nisan 1446 v.Chr.</w:t>
      </w:r>
    </w:p>
    <w:p w14:paraId="68F0306F" w14:textId="77777777" w:rsidR="00DB6534" w:rsidRPr="00DB6534" w:rsidRDefault="00DB6534" w:rsidP="001B6D02">
      <w:pPr>
        <w:numPr>
          <w:ilvl w:val="0"/>
          <w:numId w:val="39"/>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Astronomisch: Frühlingsnachtgleiche</w:t>
      </w:r>
    </w:p>
    <w:p w14:paraId="7B4C32AE" w14:textId="77777777" w:rsidR="00DB6534" w:rsidRPr="00DB6534" w:rsidRDefault="00DB6534" w:rsidP="001B6D02">
      <w:pPr>
        <w:numPr>
          <w:ilvl w:val="0"/>
          <w:numId w:val="39"/>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Ort: Goschen in Ägypten</w:t>
      </w:r>
    </w:p>
    <w:p w14:paraId="73017770"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lastRenderedPageBreak/>
        <w:t>Interessante Parallelität:</w:t>
      </w:r>
    </w:p>
    <w:p w14:paraId="269C62BE" w14:textId="77777777" w:rsidR="00DB6534" w:rsidRPr="00DB6534" w:rsidRDefault="00DB6534" w:rsidP="001B6D02">
      <w:pPr>
        <w:numPr>
          <w:ilvl w:val="0"/>
          <w:numId w:val="40"/>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Kreuzigungstag (Freitag)</w:t>
      </w:r>
    </w:p>
    <w:p w14:paraId="55830C3E" w14:textId="77777777" w:rsidR="00DB6534" w:rsidRPr="00DB6534" w:rsidRDefault="00DB6534" w:rsidP="001B6D02">
      <w:pPr>
        <w:numPr>
          <w:ilvl w:val="0"/>
          <w:numId w:val="40"/>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Erster Passa (Freitag)</w:t>
      </w:r>
    </w:p>
    <w:p w14:paraId="5E0C1496" w14:textId="77777777" w:rsidR="00DB6534" w:rsidRPr="00DB6534" w:rsidRDefault="00DB6534" w:rsidP="001B6D02">
      <w:pPr>
        <w:numPr>
          <w:ilvl w:val="0"/>
          <w:numId w:val="40"/>
        </w:num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Symbolische Bedeutung des Opfertages</w:t>
      </w:r>
    </w:p>
    <w:p w14:paraId="643A6467" w14:textId="77777777" w:rsidR="00DB6534" w:rsidRPr="00DB6534" w:rsidRDefault="00DB6534" w:rsidP="00DB6534">
      <w:pPr>
        <w:spacing w:before="100" w:beforeAutospacing="1" w:after="100" w:afterAutospacing="1"/>
        <w:rPr>
          <w:rFonts w:ascii="Times New Roman" w:eastAsia="Times New Roman" w:hAnsi="Times New Roman"/>
          <w:lang w:eastAsia="de-DE"/>
        </w:rPr>
      </w:pPr>
      <w:r w:rsidRPr="00DB6534">
        <w:rPr>
          <w:rFonts w:ascii="Times New Roman" w:eastAsia="Times New Roman" w:hAnsi="Times New Roman"/>
          <w:lang w:eastAsia="de-DE"/>
        </w:rPr>
        <w:t>Die Parallelen zur späteren Kreuzigung Jesu 33 n.Chr. sind nicht zufällig: Beide Male wird ein Befreiungsakt vollzogen - einmal aus ägyptischer Sklaverei, einmal aus der Macht der Sünde. Der Zeitpunkt ist göttlich präzise.</w:t>
      </w:r>
    </w:p>
    <w:p w14:paraId="2A1AD38F" w14:textId="77777777" w:rsidR="0034447A" w:rsidRDefault="0034447A" w:rsidP="0034447A">
      <w:pPr>
        <w:pStyle w:val="berschrift3"/>
        <w:rPr>
          <w:sz w:val="27"/>
          <w:szCs w:val="27"/>
        </w:rPr>
      </w:pPr>
      <w:r>
        <w:t>3.3.2 Historische Bestätigung</w:t>
      </w:r>
    </w:p>
    <w:p w14:paraId="276EA49E" w14:textId="77777777" w:rsidR="0034447A" w:rsidRDefault="0034447A" w:rsidP="0034447A">
      <w:pPr>
        <w:pStyle w:val="StandardWeb"/>
      </w:pPr>
      <w:r>
        <w:t>Die Datierung des öffentlichen Wirkens Jesu basiert maßgeblich auf Lukas 3,1: "Im fünfzehnten Jahr der Regierung des Kaisers Tiberius [...] geschah das Wort Gottes zu Johannes." Diese scheinbar präzise Zeitangabe führt jedoch zu verschiedenen Interpretationsmöglichkeiten.</w:t>
      </w:r>
    </w:p>
    <w:p w14:paraId="77B27534" w14:textId="77777777" w:rsidR="0034447A" w:rsidRPr="00EC0B76" w:rsidRDefault="0034447A" w:rsidP="00EC0B76">
      <w:p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b/>
          <w:bCs/>
          <w:lang w:eastAsia="de-DE"/>
        </w:rPr>
        <w:t>Regierungsjahr des Tiberius</w:t>
      </w:r>
      <w:r w:rsidRPr="00EC0B76">
        <w:rPr>
          <w:rFonts w:ascii="Times New Roman" w:eastAsia="Times New Roman" w:hAnsi="Times New Roman"/>
          <w:lang w:eastAsia="de-DE"/>
        </w:rPr>
        <w:t>: Tiberius wurde bereits 11/12 n.Chr. von Augustus zum Mitregenten ernannt. Zählt man von diesem Zeitpunkt das 15. Jahr, erreicht man 26/27 n.Chr. als Beginn des Wirkens Johannes des Täufers. Nach der Taufe Jesu und seinem dreijährigen Dienst plus weiteren Monaten führt dies zum Kreuzigungsjahr 33 n.Chr.</w:t>
      </w:r>
    </w:p>
    <w:p w14:paraId="52162457" w14:textId="77777777" w:rsidR="0034447A" w:rsidRPr="00EC0B76" w:rsidRDefault="0034447A" w:rsidP="00EC0B76">
      <w:p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b/>
          <w:bCs/>
          <w:lang w:eastAsia="de-DE"/>
        </w:rPr>
        <w:t>Amtszeit des Pontius Pilatus</w:t>
      </w:r>
      <w:r w:rsidRPr="00EC0B76">
        <w:rPr>
          <w:rFonts w:ascii="Times New Roman" w:eastAsia="Times New Roman" w:hAnsi="Times New Roman"/>
          <w:lang w:eastAsia="de-DE"/>
        </w:rPr>
        <w:t>: Ausgehend vom offiziellen Regierungsantritt des Tiberius (14 n.Chr.) und der Zählung seines Antrittsjahres als Jahr 1 - eine in der Antike durchaus übliche Praxis - ergibt sich der Dienstbeginn des Johannes auf 28/29 n.Chr. Mit etwa vierjähriger Wirkungszeit Jesu erreichen wir ebenfalls das Jahr 33 n.Chr.</w:t>
      </w:r>
    </w:p>
    <w:p w14:paraId="74BF03B7" w14:textId="77777777" w:rsidR="0034447A" w:rsidRPr="00EC0B76" w:rsidRDefault="0034447A" w:rsidP="00EC0B76">
      <w:p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b/>
          <w:bCs/>
          <w:lang w:eastAsia="de-DE"/>
        </w:rPr>
        <w:t>Römische Archive</w:t>
      </w:r>
      <w:r w:rsidRPr="00EC0B76">
        <w:rPr>
          <w:rFonts w:ascii="Times New Roman" w:eastAsia="Times New Roman" w:hAnsi="Times New Roman"/>
          <w:lang w:eastAsia="de-DE"/>
        </w:rPr>
        <w:t xml:space="preserve">: Bei Einbeziehung des Übergangsjahres nach Augustus' Tod (14 n.Chr.) als vollständiges Regierungsjahr führt </w:t>
      </w:r>
      <w:r w:rsidRPr="00EC0B76">
        <w:rPr>
          <w:rFonts w:ascii="Times New Roman" w:eastAsia="Times New Roman" w:hAnsi="Times New Roman"/>
          <w:lang w:eastAsia="de-DE"/>
        </w:rPr>
        <w:lastRenderedPageBreak/>
        <w:t>das 15. Jahr auf 29 n.Chr. Die anschließende Wirkungszeit Jesu von etwa vier Jahren mündet wiederum in 33 n.Chr.</w:t>
      </w:r>
    </w:p>
    <w:p w14:paraId="59693807" w14:textId="77777777" w:rsidR="0034447A" w:rsidRPr="00EC0B76" w:rsidRDefault="0034447A" w:rsidP="00EC0B76">
      <w:p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b/>
          <w:bCs/>
          <w:lang w:eastAsia="de-DE"/>
        </w:rPr>
        <w:t>Griechische Historiker (Phlegon, Thallus)</w:t>
      </w:r>
      <w:r w:rsidRPr="00EC0B76">
        <w:rPr>
          <w:rFonts w:ascii="Times New Roman" w:eastAsia="Times New Roman" w:hAnsi="Times New Roman"/>
          <w:lang w:eastAsia="de-DE"/>
        </w:rPr>
        <w:t>: Alle drei Berechnungsmodelle sind historisch plausibel und führen zum gleichen Ergebnis. Die Koregentschaft-Berechnung hat dabei den Vorteil, dass sie sowohl durch römische Quellen belegt ist als auch am besten mit den astronomischen Daten des Passahfestes 33 n.Chr. harmoniert.</w:t>
      </w:r>
    </w:p>
    <w:p w14:paraId="087512C4" w14:textId="77777777" w:rsidR="0034447A" w:rsidRDefault="0034447A" w:rsidP="0034447A">
      <w:pPr>
        <w:pStyle w:val="StandardWeb"/>
      </w:pPr>
      <w:r>
        <w:t>Die scheinbare chronologische Diskrepanz löst sich durch ein tieferes Verständnis antiker Zählweisen und der politischen Realität der Übergangszeit von Augustus zu Tiberius auf.</w:t>
      </w:r>
      <w:r w:rsidR="00E43321">
        <w:t xml:space="preserve"> </w:t>
      </w:r>
    </w:p>
    <w:p w14:paraId="504E0DA5" w14:textId="77777777" w:rsidR="0034447A" w:rsidRPr="00EC0B76" w:rsidRDefault="007D1FE8" w:rsidP="007D1FE8">
      <w:pPr>
        <w:pStyle w:val="berschrift3"/>
        <w:rPr>
          <w:rFonts w:eastAsia="Times New Roman"/>
          <w:lang w:eastAsia="de-DE"/>
        </w:rPr>
      </w:pPr>
      <w:r>
        <w:rPr>
          <w:rFonts w:eastAsia="Times New Roman"/>
          <w:lang w:eastAsia="de-DE"/>
        </w:rPr>
        <w:t xml:space="preserve">3.3.3 </w:t>
      </w:r>
      <w:r w:rsidR="0034447A" w:rsidRPr="00EC0B76">
        <w:rPr>
          <w:rFonts w:eastAsia="Times New Roman"/>
          <w:lang w:eastAsia="de-DE"/>
        </w:rPr>
        <w:t>Übersicht der historischen Ereignisse vor und nach dem Kreuzigungsdatum (25. März 33 n.Chr.)</w:t>
      </w:r>
    </w:p>
    <w:p w14:paraId="2FFAA310" w14:textId="77777777" w:rsidR="0034447A" w:rsidRDefault="0034447A" w:rsidP="0034447A">
      <w:pPr>
        <w:pStyle w:val="StandardWeb"/>
      </w:pPr>
      <w:r w:rsidRPr="00EC0B76">
        <w:rPr>
          <w:b/>
          <w:bCs/>
        </w:rPr>
        <w:t>Politische Ereignisse</w:t>
      </w:r>
      <w:r>
        <w:t>:</w:t>
      </w:r>
    </w:p>
    <w:p w14:paraId="30FCCE48" w14:textId="77777777" w:rsidR="0034447A" w:rsidRPr="00EC0B76" w:rsidRDefault="0034447A" w:rsidP="00714222">
      <w:pPr>
        <w:numPr>
          <w:ilvl w:val="0"/>
          <w:numId w:val="270"/>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Schlacht von Actium (31 v.Chr.): Octavian besiegt Antonius und Kleopatra (64 Jahre vor der Kreuzigung)</w:t>
      </w:r>
    </w:p>
    <w:p w14:paraId="0179F76C" w14:textId="77777777" w:rsidR="0034447A" w:rsidRPr="00EC0B76" w:rsidRDefault="0034447A" w:rsidP="00714222">
      <w:pPr>
        <w:numPr>
          <w:ilvl w:val="0"/>
          <w:numId w:val="270"/>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Augustus wird erster römischer Kaiser (27 v.Chr.) (60 Jahre vor der Kreuzigung)</w:t>
      </w:r>
    </w:p>
    <w:p w14:paraId="1F2B1FA9" w14:textId="77777777" w:rsidR="0034447A" w:rsidRDefault="0034447A" w:rsidP="0034447A">
      <w:pPr>
        <w:pStyle w:val="StandardWeb"/>
      </w:pPr>
      <w:r w:rsidRPr="00EC0B76">
        <w:rPr>
          <w:b/>
          <w:bCs/>
        </w:rPr>
        <w:t>Militärische Ereignisse</w:t>
      </w:r>
      <w:r>
        <w:t>:</w:t>
      </w:r>
    </w:p>
    <w:p w14:paraId="0F1482BE" w14:textId="77777777" w:rsidR="0034447A" w:rsidRPr="00EC0B76" w:rsidRDefault="0034447A" w:rsidP="00714222">
      <w:pPr>
        <w:numPr>
          <w:ilvl w:val="0"/>
          <w:numId w:val="27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Varusschlacht (9 n.Chr.): Vernichtung von drei römischen Legionen in Germanien (24 Jahre vor der Kreuzigung)</w:t>
      </w:r>
    </w:p>
    <w:p w14:paraId="60E05977" w14:textId="77777777" w:rsidR="0034447A" w:rsidRPr="00EC0B76" w:rsidRDefault="0034447A" w:rsidP="00714222">
      <w:pPr>
        <w:numPr>
          <w:ilvl w:val="0"/>
          <w:numId w:val="271"/>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Eroberung Britanniens beginnt unter Kaiser Claudius (43 n.Chr., aber Vorbereitungen davor)</w:t>
      </w:r>
    </w:p>
    <w:p w14:paraId="4DA7E939" w14:textId="77777777" w:rsidR="0034447A" w:rsidRDefault="0034447A" w:rsidP="0034447A">
      <w:pPr>
        <w:pStyle w:val="StandardWeb"/>
      </w:pPr>
      <w:r w:rsidRPr="00EC0B76">
        <w:rPr>
          <w:b/>
          <w:bCs/>
        </w:rPr>
        <w:t>Dynastische Ereignisse</w:t>
      </w:r>
      <w:r>
        <w:t>:</w:t>
      </w:r>
    </w:p>
    <w:p w14:paraId="2327A04B" w14:textId="77777777" w:rsidR="0034447A" w:rsidRPr="00EC0B76" w:rsidRDefault="0034447A" w:rsidP="00714222">
      <w:pPr>
        <w:numPr>
          <w:ilvl w:val="0"/>
          <w:numId w:val="27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Tod von Kaiser Augustus (14 n.Chr.) (19 Jahre vor der Kreuzigung)</w:t>
      </w:r>
    </w:p>
    <w:p w14:paraId="0425A0C7" w14:textId="77777777" w:rsidR="0034447A" w:rsidRPr="00EC0B76" w:rsidRDefault="0034447A" w:rsidP="00714222">
      <w:pPr>
        <w:numPr>
          <w:ilvl w:val="0"/>
          <w:numId w:val="272"/>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lastRenderedPageBreak/>
        <w:t>Beginn der Regierung von Tiberius (14 n.Chr.) (19 Jahre vor der Kreuzigung)</w:t>
      </w:r>
    </w:p>
    <w:p w14:paraId="30EA9357" w14:textId="77777777" w:rsidR="0034447A" w:rsidRDefault="0034447A" w:rsidP="0034447A">
      <w:pPr>
        <w:pStyle w:val="StandardWeb"/>
      </w:pPr>
      <w:r w:rsidRPr="00EC0B76">
        <w:rPr>
          <w:b/>
          <w:bCs/>
        </w:rPr>
        <w:t>Kulturelle Meilensteine</w:t>
      </w:r>
      <w:r>
        <w:t>:</w:t>
      </w:r>
    </w:p>
    <w:p w14:paraId="18C0D502" w14:textId="77777777" w:rsidR="0034447A" w:rsidRPr="00EC0B76" w:rsidRDefault="0034447A" w:rsidP="00714222">
      <w:pPr>
        <w:numPr>
          <w:ilvl w:val="0"/>
          <w:numId w:val="273"/>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Fertigstellung des Pantheons in Rom (126 v.Chr.) (159 Jahre vor der Kreuzigung)</w:t>
      </w:r>
    </w:p>
    <w:p w14:paraId="13E61F97" w14:textId="77777777" w:rsidR="0034447A" w:rsidRPr="00EC0B76" w:rsidRDefault="0034447A" w:rsidP="00714222">
      <w:pPr>
        <w:numPr>
          <w:ilvl w:val="0"/>
          <w:numId w:val="273"/>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Beginn der Regierungszeit von Herodes dem Großen (37 v.Chr.) (70 Jahre vor der Kreuzigung)</w:t>
      </w:r>
    </w:p>
    <w:p w14:paraId="756C550F" w14:textId="77777777" w:rsidR="0034447A" w:rsidRDefault="0034447A" w:rsidP="0034447A">
      <w:pPr>
        <w:pStyle w:val="StandardWeb"/>
      </w:pPr>
      <w:r w:rsidRPr="00EC0B76">
        <w:rPr>
          <w:b/>
          <w:bCs/>
        </w:rPr>
        <w:t>Astronomische/Wissenschaftliche Ereignisse</w:t>
      </w:r>
      <w:r>
        <w:t>:</w:t>
      </w:r>
    </w:p>
    <w:p w14:paraId="3EE1135A" w14:textId="77777777" w:rsidR="0034447A" w:rsidRPr="00EC0B76" w:rsidRDefault="0034447A" w:rsidP="00714222">
      <w:pPr>
        <w:numPr>
          <w:ilvl w:val="0"/>
          <w:numId w:val="274"/>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Hipparchs Sonnenfinsternis-Katalog (150 v.Chr.) (183 Jahre vor der Kreuzigung)</w:t>
      </w:r>
    </w:p>
    <w:p w14:paraId="12C1DB66" w14:textId="77777777" w:rsidR="0034447A" w:rsidRPr="00EC0B76" w:rsidRDefault="0034447A" w:rsidP="00714222">
      <w:pPr>
        <w:numPr>
          <w:ilvl w:val="0"/>
          <w:numId w:val="274"/>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Entstehung des julianischen Kalenders (45 v.Chr.) (78 Jahre vor der Kreuzigung)</w:t>
      </w:r>
    </w:p>
    <w:p w14:paraId="4CB40FAC" w14:textId="77777777" w:rsidR="0034447A" w:rsidRDefault="0034447A" w:rsidP="0034447A">
      <w:pPr>
        <w:pStyle w:val="StandardWeb"/>
      </w:pPr>
      <w:r w:rsidRPr="00EC0B76">
        <w:rPr>
          <w:b/>
          <w:bCs/>
        </w:rPr>
        <w:t>Religiöse/Historische Kontextpunkte</w:t>
      </w:r>
      <w:r>
        <w:t>:</w:t>
      </w:r>
    </w:p>
    <w:p w14:paraId="7EFDBFBD" w14:textId="77777777" w:rsidR="0034447A" w:rsidRPr="00EC0B76" w:rsidRDefault="0034447A" w:rsidP="00714222">
      <w:pPr>
        <w:numPr>
          <w:ilvl w:val="0"/>
          <w:numId w:val="275"/>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Makkabäeraufstand (167-160 v.Chr.) (200 Jahre vor der Kreuzigung)</w:t>
      </w:r>
    </w:p>
    <w:p w14:paraId="455C7221" w14:textId="77777777" w:rsidR="0034447A" w:rsidRPr="00EC0B76" w:rsidRDefault="0034447A" w:rsidP="00714222">
      <w:pPr>
        <w:numPr>
          <w:ilvl w:val="0"/>
          <w:numId w:val="275"/>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Zerstörung des Zweiten Tempels durch die Babylonier (586 v.Chr.) (619 Jahre vor der Kreuzigung)</w:t>
      </w:r>
    </w:p>
    <w:p w14:paraId="10FCC759" w14:textId="77777777" w:rsidR="0034447A" w:rsidRPr="00EC0B76" w:rsidRDefault="007D1FE8" w:rsidP="007D1FE8">
      <w:pPr>
        <w:pStyle w:val="berschrift3"/>
        <w:rPr>
          <w:rFonts w:eastAsia="Times New Roman"/>
          <w:lang w:eastAsia="de-DE"/>
        </w:rPr>
      </w:pPr>
      <w:r>
        <w:rPr>
          <w:rFonts w:eastAsia="Times New Roman"/>
          <w:lang w:eastAsia="de-DE"/>
        </w:rPr>
        <w:t xml:space="preserve">3.3.4. </w:t>
      </w:r>
      <w:r w:rsidR="0034447A" w:rsidRPr="00EC0B76">
        <w:rPr>
          <w:rFonts w:eastAsia="Times New Roman"/>
          <w:lang w:eastAsia="de-DE"/>
        </w:rPr>
        <w:t xml:space="preserve">Das Pfingstfest </w:t>
      </w:r>
    </w:p>
    <w:p w14:paraId="1FF62039" w14:textId="77777777" w:rsidR="0034447A" w:rsidRDefault="0034447A" w:rsidP="0034447A">
      <w:pPr>
        <w:pStyle w:val="StandardWeb"/>
      </w:pPr>
      <w:r>
        <w:t>Da Jesus nach der biblischen Überlieferung am dritten Tag nach seiner Kreuzigung auferstanden ist, beginnen wir unsere Zählung ab dem Ostersonntag.</w:t>
      </w:r>
    </w:p>
    <w:p w14:paraId="17748AEB" w14:textId="77777777" w:rsidR="0034447A" w:rsidRDefault="0034447A" w:rsidP="0034447A">
      <w:pPr>
        <w:pStyle w:val="StandardWeb"/>
      </w:pPr>
      <w:r w:rsidRPr="00EC0B76">
        <w:rPr>
          <w:b/>
          <w:bCs/>
        </w:rPr>
        <w:t>Berechnung</w:t>
      </w:r>
      <w:r>
        <w:t>:</w:t>
      </w:r>
    </w:p>
    <w:p w14:paraId="29B49BEE" w14:textId="77777777" w:rsidR="0034447A" w:rsidRPr="00EC0B76" w:rsidRDefault="0034447A" w:rsidP="00714222">
      <w:pPr>
        <w:numPr>
          <w:ilvl w:val="0"/>
          <w:numId w:val="276"/>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Kreuzigung: 25. März 33 n.Chr. (Freitag)</w:t>
      </w:r>
    </w:p>
    <w:p w14:paraId="0F17F0F0" w14:textId="77777777" w:rsidR="0034447A" w:rsidRPr="00EC0B76" w:rsidRDefault="0034447A" w:rsidP="00714222">
      <w:pPr>
        <w:numPr>
          <w:ilvl w:val="0"/>
          <w:numId w:val="276"/>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Auferstehung: 28. März 33 n.Chr. (Sonntag)</w:t>
      </w:r>
    </w:p>
    <w:p w14:paraId="23CB0E60" w14:textId="77777777" w:rsidR="0034447A" w:rsidRPr="00EC0B76" w:rsidRDefault="0034447A" w:rsidP="00714222">
      <w:pPr>
        <w:numPr>
          <w:ilvl w:val="0"/>
          <w:numId w:val="276"/>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Ab Auferstehung bis Pfingsten: 50 Tage</w:t>
      </w:r>
    </w:p>
    <w:p w14:paraId="4BCB0F73" w14:textId="77777777" w:rsidR="0034447A" w:rsidRDefault="0034447A" w:rsidP="0034447A">
      <w:pPr>
        <w:pStyle w:val="StandardWeb"/>
      </w:pPr>
      <w:r w:rsidRPr="00EC0B76">
        <w:rPr>
          <w:b/>
          <w:bCs/>
        </w:rPr>
        <w:lastRenderedPageBreak/>
        <w:t>Das bedeutet</w:t>
      </w:r>
      <w:r>
        <w:t>:</w:t>
      </w:r>
    </w:p>
    <w:p w14:paraId="0AD3726A" w14:textId="77777777" w:rsidR="0034447A" w:rsidRPr="00EC0B76" w:rsidRDefault="0034447A" w:rsidP="00714222">
      <w:pPr>
        <w:numPr>
          <w:ilvl w:val="0"/>
          <w:numId w:val="277"/>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Pfingstfest fiel auf: 17. Mai 33 n.Chr. (Sonntag)</w:t>
      </w:r>
    </w:p>
    <w:p w14:paraId="601BEC9F" w14:textId="77777777" w:rsidR="0034447A" w:rsidRPr="00EC0B76" w:rsidRDefault="0034447A" w:rsidP="00714222">
      <w:pPr>
        <w:numPr>
          <w:ilvl w:val="0"/>
          <w:numId w:val="277"/>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Anzahl der Tage zwischen Kreuzigung und Pfingsten: 53 Tage</w:t>
      </w:r>
    </w:p>
    <w:p w14:paraId="07566170" w14:textId="77777777" w:rsidR="0034447A" w:rsidRDefault="0034447A" w:rsidP="0034447A">
      <w:pPr>
        <w:pStyle w:val="StandardWeb"/>
      </w:pPr>
      <w:r w:rsidRPr="00EC0B76">
        <w:rPr>
          <w:b/>
          <w:bCs/>
        </w:rPr>
        <w:t>Ausgangspunkt: Pfingsten am 17. Mai 33 n.Chr.</w:t>
      </w:r>
    </w:p>
    <w:p w14:paraId="34A26036" w14:textId="77777777" w:rsidR="0034447A" w:rsidRPr="00EC0B76" w:rsidRDefault="0034447A" w:rsidP="00714222">
      <w:pPr>
        <w:numPr>
          <w:ilvl w:val="0"/>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b/>
          <w:bCs/>
          <w:lang w:eastAsia="de-DE"/>
        </w:rPr>
        <w:t>Tod des Stephanus (Apg 7)</w:t>
      </w:r>
    </w:p>
    <w:p w14:paraId="5025249B"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Wahrscheinlich Ende 33/Anfang 34 n.Chr.</w:t>
      </w:r>
    </w:p>
    <w:p w14:paraId="51D47C8D"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Dies passt zur benötigten Zeit für das Wachstum der Gemeinde (Apg 6,1)</w:t>
      </w:r>
    </w:p>
    <w:p w14:paraId="5FA1E113"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Die Zeitspanne von etwa 6-8 Monaten nach Pfingsten erscheint plausibel für die beschriebenen Ereignisse</w:t>
      </w:r>
    </w:p>
    <w:p w14:paraId="2C385E31" w14:textId="77777777" w:rsidR="0034447A" w:rsidRPr="00EC0B76" w:rsidRDefault="0034447A" w:rsidP="00714222">
      <w:pPr>
        <w:numPr>
          <w:ilvl w:val="0"/>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b/>
          <w:bCs/>
          <w:lang w:eastAsia="de-DE"/>
        </w:rPr>
        <w:t>Bekehrung des Saulus/Paulus (Apg 9)</w:t>
      </w:r>
    </w:p>
    <w:p w14:paraId="4755FC6E"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Vermutlich 34 n.Chr., kurz nach Stephanus' Tod</w:t>
      </w:r>
    </w:p>
    <w:p w14:paraId="682E07E0"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Paulus erwähnt in Gal 1,18, dass er nach seiner Bekehrung drei Jahre in Arabien und Damaskus verbrachte</w:t>
      </w:r>
    </w:p>
    <w:p w14:paraId="550B2C01"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Dies würde uns zu etwa 37 n.Chr. bringen</w:t>
      </w:r>
    </w:p>
    <w:p w14:paraId="121414A4" w14:textId="77777777" w:rsidR="0034447A" w:rsidRPr="00EC0B76" w:rsidRDefault="0034447A" w:rsidP="00714222">
      <w:pPr>
        <w:numPr>
          <w:ilvl w:val="0"/>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b/>
          <w:bCs/>
          <w:lang w:eastAsia="de-DE"/>
        </w:rPr>
        <w:t>Erste Jerusalemreise des Paulus (Gal 1,18; Apg 9,26-30)</w:t>
      </w:r>
    </w:p>
    <w:p w14:paraId="660D5D31"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37 n.Chr.</w:t>
      </w:r>
    </w:p>
    <w:p w14:paraId="1F185DE1"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15-tägiger Aufenthalt bei Petrus</w:t>
      </w:r>
    </w:p>
    <w:p w14:paraId="381177C3" w14:textId="77777777" w:rsidR="0034447A" w:rsidRPr="00EC0B76" w:rsidRDefault="0034447A" w:rsidP="00714222">
      <w:pPr>
        <w:numPr>
          <w:ilvl w:val="0"/>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b/>
          <w:bCs/>
          <w:lang w:eastAsia="de-DE"/>
        </w:rPr>
        <w:t>Erste Missionsreise (Apg 13-14)</w:t>
      </w:r>
    </w:p>
    <w:p w14:paraId="3A55D336"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Beginn etwa 45-46 n.Chr.</w:t>
      </w:r>
    </w:p>
    <w:p w14:paraId="1EBC9D69"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Dauer: ca. 2 Jahre</w:t>
      </w:r>
    </w:p>
    <w:p w14:paraId="514EEC63"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Dies lässt genügend Zeit für seinen Dienst in Tarsus und Antiochia</w:t>
      </w:r>
    </w:p>
    <w:p w14:paraId="78142CD5" w14:textId="77777777" w:rsidR="0034447A" w:rsidRPr="00EC0B76" w:rsidRDefault="0034447A" w:rsidP="00714222">
      <w:pPr>
        <w:numPr>
          <w:ilvl w:val="0"/>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b/>
          <w:bCs/>
          <w:lang w:eastAsia="de-DE"/>
        </w:rPr>
        <w:t>Apostelkonzil (Apg 15)</w:t>
      </w:r>
    </w:p>
    <w:p w14:paraId="69FCACF7"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Etwa 48-49 n.Chr.</w:t>
      </w:r>
    </w:p>
    <w:p w14:paraId="5AA64899"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Paulus erwähnt in Gal 2,1, dass dies 14 Jahre nach seiner Bekehrung stattfand</w:t>
      </w:r>
    </w:p>
    <w:p w14:paraId="0A76A5DC" w14:textId="77777777" w:rsidR="0034447A" w:rsidRPr="00EC0B76" w:rsidRDefault="0034447A" w:rsidP="00714222">
      <w:pPr>
        <w:numPr>
          <w:ilvl w:val="1"/>
          <w:numId w:val="278"/>
        </w:numPr>
        <w:spacing w:before="100" w:beforeAutospacing="1" w:after="100" w:afterAutospacing="1"/>
        <w:rPr>
          <w:rFonts w:ascii="Times New Roman" w:eastAsia="Times New Roman" w:hAnsi="Times New Roman"/>
          <w:lang w:eastAsia="de-DE"/>
        </w:rPr>
      </w:pPr>
      <w:r w:rsidRPr="00EC0B76">
        <w:rPr>
          <w:rFonts w:ascii="Times New Roman" w:eastAsia="Times New Roman" w:hAnsi="Times New Roman"/>
          <w:lang w:eastAsia="de-DE"/>
        </w:rPr>
        <w:t>Dies würde mit einer Bekehrung 34 n.Chr. harmonieren</w:t>
      </w:r>
    </w:p>
    <w:p w14:paraId="3C5D8399" w14:textId="77777777" w:rsidR="00E974D3" w:rsidRPr="007E4F09" w:rsidRDefault="00E974D3" w:rsidP="001A1EB6">
      <w:pPr>
        <w:pStyle w:val="berschrift2"/>
        <w:rPr>
          <w:rFonts w:eastAsia="Times New Roman"/>
          <w:lang w:eastAsia="de-DE"/>
        </w:rPr>
      </w:pPr>
      <w:r w:rsidRPr="007E4F09">
        <w:rPr>
          <w:rFonts w:eastAsia="Times New Roman"/>
          <w:lang w:eastAsia="de-DE"/>
        </w:rPr>
        <w:lastRenderedPageBreak/>
        <w:t>3.</w:t>
      </w:r>
      <w:r w:rsidR="001A1EB6">
        <w:rPr>
          <w:rFonts w:eastAsia="Times New Roman"/>
          <w:lang w:eastAsia="de-DE"/>
        </w:rPr>
        <w:t>4</w:t>
      </w:r>
      <w:r w:rsidRPr="007E4F09">
        <w:rPr>
          <w:rFonts w:eastAsia="Times New Roman"/>
          <w:lang w:eastAsia="de-DE"/>
        </w:rPr>
        <w:t>.</w:t>
      </w:r>
      <w:r w:rsidR="001A1EB6">
        <w:rPr>
          <w:rFonts w:eastAsia="Times New Roman"/>
          <w:lang w:eastAsia="de-DE"/>
        </w:rPr>
        <w:t xml:space="preserve"> </w:t>
      </w:r>
      <w:r w:rsidR="00502F01">
        <w:rPr>
          <w:rFonts w:eastAsia="Times New Roman"/>
          <w:lang w:eastAsia="de-DE"/>
        </w:rPr>
        <w:t>V</w:t>
      </w:r>
      <w:r w:rsidRPr="007E4F09">
        <w:rPr>
          <w:rFonts w:eastAsia="Times New Roman"/>
          <w:lang w:eastAsia="de-DE"/>
        </w:rPr>
        <w:t>on Gethsemane nach Golgatha</w:t>
      </w:r>
    </w:p>
    <w:p w14:paraId="0A37501D" w14:textId="77777777" w:rsidR="00727A3C" w:rsidRDefault="00727A3C" w:rsidP="00727A3C"/>
    <w:p w14:paraId="027C31F8" w14:textId="77777777" w:rsidR="00E974D3" w:rsidRPr="00CF44D3" w:rsidRDefault="00E974D3" w:rsidP="00714222">
      <w:pPr>
        <w:numPr>
          <w:ilvl w:val="0"/>
          <w:numId w:val="114"/>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b/>
          <w:bCs/>
          <w:lang w:eastAsia="de-DE"/>
        </w:rPr>
        <w:t>Gethsemane zum Haus des Hannas</w:t>
      </w:r>
    </w:p>
    <w:p w14:paraId="68975F09" w14:textId="77777777" w:rsidR="00E974D3" w:rsidRPr="00CF44D3" w:rsidRDefault="00E974D3" w:rsidP="00714222">
      <w:pPr>
        <w:numPr>
          <w:ilvl w:val="0"/>
          <w:numId w:val="115"/>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Distanz: ~900m</w:t>
      </w:r>
    </w:p>
    <w:p w14:paraId="134F59FE" w14:textId="77777777" w:rsidR="00E974D3" w:rsidRPr="00CF44D3" w:rsidRDefault="00E974D3" w:rsidP="00714222">
      <w:pPr>
        <w:numPr>
          <w:ilvl w:val="0"/>
          <w:numId w:val="115"/>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Höhendifferenz: +35m</w:t>
      </w:r>
    </w:p>
    <w:p w14:paraId="7D8D4807" w14:textId="77777777" w:rsidR="00E974D3" w:rsidRPr="00CF44D3" w:rsidRDefault="00E974D3" w:rsidP="00714222">
      <w:pPr>
        <w:numPr>
          <w:ilvl w:val="0"/>
          <w:numId w:val="115"/>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Geschätzte Zeit: 15-20 min</w:t>
      </w:r>
    </w:p>
    <w:p w14:paraId="4C5DCF28" w14:textId="77777777" w:rsidR="00E974D3" w:rsidRPr="00CF44D3" w:rsidRDefault="00E974D3" w:rsidP="00714222">
      <w:pPr>
        <w:numPr>
          <w:ilvl w:val="0"/>
          <w:numId w:val="115"/>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Quelle: Jos. Ant. XVIII.2.2</w:t>
      </w:r>
    </w:p>
    <w:p w14:paraId="6CDAE145" w14:textId="77777777" w:rsidR="00E974D3" w:rsidRPr="00CF44D3" w:rsidRDefault="00E974D3" w:rsidP="00714222">
      <w:pPr>
        <w:numPr>
          <w:ilvl w:val="0"/>
          <w:numId w:val="116"/>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b/>
          <w:bCs/>
          <w:lang w:eastAsia="de-DE"/>
        </w:rPr>
        <w:t>Haus des Hannas zum Palast des Kajaphas</w:t>
      </w:r>
    </w:p>
    <w:p w14:paraId="0BDB4ECF" w14:textId="77777777" w:rsidR="00E974D3" w:rsidRPr="00CF44D3" w:rsidRDefault="00E974D3" w:rsidP="00714222">
      <w:pPr>
        <w:numPr>
          <w:ilvl w:val="0"/>
          <w:numId w:val="117"/>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Distanz: ~400m</w:t>
      </w:r>
    </w:p>
    <w:p w14:paraId="0550509D" w14:textId="77777777" w:rsidR="00E974D3" w:rsidRPr="00CF44D3" w:rsidRDefault="00E974D3" w:rsidP="00714222">
      <w:pPr>
        <w:numPr>
          <w:ilvl w:val="0"/>
          <w:numId w:val="117"/>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Höhendifferenz: +15m</w:t>
      </w:r>
    </w:p>
    <w:p w14:paraId="6A387CD2" w14:textId="77777777" w:rsidR="00E974D3" w:rsidRPr="00CF44D3" w:rsidRDefault="00E974D3" w:rsidP="00714222">
      <w:pPr>
        <w:numPr>
          <w:ilvl w:val="0"/>
          <w:numId w:val="117"/>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Geschätzte Zeit: 10 min</w:t>
      </w:r>
    </w:p>
    <w:p w14:paraId="6518413D" w14:textId="77777777" w:rsidR="00E974D3" w:rsidRPr="00CF44D3" w:rsidRDefault="00E974D3" w:rsidP="00714222">
      <w:pPr>
        <w:numPr>
          <w:ilvl w:val="0"/>
          <w:numId w:val="117"/>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Quelle: Tac. Ann. XV.44</w:t>
      </w:r>
    </w:p>
    <w:p w14:paraId="604DB990" w14:textId="77777777" w:rsidR="00E974D3" w:rsidRPr="00CF44D3" w:rsidRDefault="00E974D3" w:rsidP="00714222">
      <w:pPr>
        <w:numPr>
          <w:ilvl w:val="0"/>
          <w:numId w:val="118"/>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b/>
          <w:bCs/>
          <w:lang w:eastAsia="de-DE"/>
        </w:rPr>
        <w:t>Palast des Kajaphas zur Burg Antonia</w:t>
      </w:r>
    </w:p>
    <w:p w14:paraId="18B7F63C" w14:textId="77777777" w:rsidR="00E974D3" w:rsidRPr="00CF44D3" w:rsidRDefault="00E974D3" w:rsidP="00714222">
      <w:pPr>
        <w:numPr>
          <w:ilvl w:val="0"/>
          <w:numId w:val="119"/>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Distanz: ~600m</w:t>
      </w:r>
    </w:p>
    <w:p w14:paraId="06527E51" w14:textId="77777777" w:rsidR="00E974D3" w:rsidRPr="00CF44D3" w:rsidRDefault="00E974D3" w:rsidP="00714222">
      <w:pPr>
        <w:numPr>
          <w:ilvl w:val="0"/>
          <w:numId w:val="119"/>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Höhendifferenz: +20m</w:t>
      </w:r>
    </w:p>
    <w:p w14:paraId="44E63677" w14:textId="77777777" w:rsidR="00E974D3" w:rsidRPr="00CF44D3" w:rsidRDefault="00E974D3" w:rsidP="00714222">
      <w:pPr>
        <w:numPr>
          <w:ilvl w:val="0"/>
          <w:numId w:val="119"/>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Geschätzte Zeit: 15 min</w:t>
      </w:r>
    </w:p>
    <w:p w14:paraId="5EF6483C" w14:textId="77777777" w:rsidR="00E974D3" w:rsidRPr="00CF44D3" w:rsidRDefault="00E974D3" w:rsidP="00714222">
      <w:pPr>
        <w:numPr>
          <w:ilvl w:val="0"/>
          <w:numId w:val="119"/>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Quelle: Jos. Bell. V.5.8</w:t>
      </w:r>
    </w:p>
    <w:p w14:paraId="48ECEB8E" w14:textId="77777777" w:rsidR="00E974D3" w:rsidRPr="00CF44D3" w:rsidRDefault="00E974D3" w:rsidP="00714222">
      <w:pPr>
        <w:numPr>
          <w:ilvl w:val="0"/>
          <w:numId w:val="120"/>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b/>
          <w:bCs/>
          <w:lang w:eastAsia="de-DE"/>
        </w:rPr>
        <w:t>Burg Antonia zu Pilatus' Palast</w:t>
      </w:r>
    </w:p>
    <w:p w14:paraId="7F73AF59" w14:textId="77777777" w:rsidR="00E974D3" w:rsidRPr="00CF44D3" w:rsidRDefault="00E974D3" w:rsidP="00714222">
      <w:pPr>
        <w:numPr>
          <w:ilvl w:val="0"/>
          <w:numId w:val="121"/>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Distanz: ~500m</w:t>
      </w:r>
    </w:p>
    <w:p w14:paraId="2C0FAF2D" w14:textId="77777777" w:rsidR="00E974D3" w:rsidRPr="00CF44D3" w:rsidRDefault="00E974D3" w:rsidP="00714222">
      <w:pPr>
        <w:numPr>
          <w:ilvl w:val="0"/>
          <w:numId w:val="121"/>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Höhendifferenz: -10m</w:t>
      </w:r>
    </w:p>
    <w:p w14:paraId="09230C01" w14:textId="77777777" w:rsidR="00E974D3" w:rsidRPr="00CF44D3" w:rsidRDefault="00E974D3" w:rsidP="00714222">
      <w:pPr>
        <w:numPr>
          <w:ilvl w:val="0"/>
          <w:numId w:val="121"/>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Geschätzte Zeit: 15 min</w:t>
      </w:r>
    </w:p>
    <w:p w14:paraId="67FFEA02" w14:textId="77777777" w:rsidR="00E974D3" w:rsidRPr="00CF44D3" w:rsidRDefault="00E974D3" w:rsidP="00714222">
      <w:pPr>
        <w:numPr>
          <w:ilvl w:val="0"/>
          <w:numId w:val="121"/>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Quelle: Phil. Leg. ad Gaium</w:t>
      </w:r>
    </w:p>
    <w:p w14:paraId="4DF3E300" w14:textId="77777777" w:rsidR="00E974D3" w:rsidRPr="00CF44D3" w:rsidRDefault="00E974D3" w:rsidP="00714222">
      <w:pPr>
        <w:numPr>
          <w:ilvl w:val="0"/>
          <w:numId w:val="122"/>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b/>
          <w:bCs/>
          <w:lang w:eastAsia="de-DE"/>
        </w:rPr>
        <w:t>Pilatus' Palast zum Palast des Herodes</w:t>
      </w:r>
    </w:p>
    <w:p w14:paraId="0D69CB97" w14:textId="77777777" w:rsidR="00E974D3" w:rsidRPr="00CF44D3" w:rsidRDefault="00E974D3" w:rsidP="00714222">
      <w:pPr>
        <w:numPr>
          <w:ilvl w:val="0"/>
          <w:numId w:val="123"/>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Distanz: ~700m</w:t>
      </w:r>
    </w:p>
    <w:p w14:paraId="3B76A3F9" w14:textId="77777777" w:rsidR="00E974D3" w:rsidRPr="00CF44D3" w:rsidRDefault="00E974D3" w:rsidP="00714222">
      <w:pPr>
        <w:numPr>
          <w:ilvl w:val="0"/>
          <w:numId w:val="123"/>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lastRenderedPageBreak/>
        <w:t>Höhendifferenz: +25m</w:t>
      </w:r>
    </w:p>
    <w:p w14:paraId="682BBC94" w14:textId="77777777" w:rsidR="00E974D3" w:rsidRPr="00CF44D3" w:rsidRDefault="00E974D3" w:rsidP="00714222">
      <w:pPr>
        <w:numPr>
          <w:ilvl w:val="0"/>
          <w:numId w:val="123"/>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Geschätzte Zeit: 20 min</w:t>
      </w:r>
    </w:p>
    <w:p w14:paraId="1DDF91C3" w14:textId="77777777" w:rsidR="00E974D3" w:rsidRPr="00CF44D3" w:rsidRDefault="00E974D3" w:rsidP="00714222">
      <w:pPr>
        <w:numPr>
          <w:ilvl w:val="0"/>
          <w:numId w:val="123"/>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Quelle: Lk 23,7</w:t>
      </w:r>
    </w:p>
    <w:p w14:paraId="36C9B6E4" w14:textId="77777777" w:rsidR="00E974D3" w:rsidRPr="00CF44D3" w:rsidRDefault="00E974D3" w:rsidP="00714222">
      <w:pPr>
        <w:numPr>
          <w:ilvl w:val="0"/>
          <w:numId w:val="124"/>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b/>
          <w:bCs/>
          <w:lang w:eastAsia="de-DE"/>
        </w:rPr>
        <w:t>Herodes zurück zu Pilatus</w:t>
      </w:r>
    </w:p>
    <w:p w14:paraId="6382B5D0" w14:textId="77777777" w:rsidR="00E974D3" w:rsidRPr="00CF44D3" w:rsidRDefault="00E974D3" w:rsidP="00714222">
      <w:pPr>
        <w:numPr>
          <w:ilvl w:val="0"/>
          <w:numId w:val="125"/>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Distanz: ~700m</w:t>
      </w:r>
    </w:p>
    <w:p w14:paraId="77A5407A" w14:textId="77777777" w:rsidR="00E974D3" w:rsidRPr="00CF44D3" w:rsidRDefault="00E974D3" w:rsidP="00714222">
      <w:pPr>
        <w:numPr>
          <w:ilvl w:val="0"/>
          <w:numId w:val="125"/>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Höhendifferenz: -25m</w:t>
      </w:r>
    </w:p>
    <w:p w14:paraId="183E260C" w14:textId="77777777" w:rsidR="00E974D3" w:rsidRPr="00CF44D3" w:rsidRDefault="00E974D3" w:rsidP="00714222">
      <w:pPr>
        <w:numPr>
          <w:ilvl w:val="0"/>
          <w:numId w:val="125"/>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Geschätzte Zeit: 15 min</w:t>
      </w:r>
    </w:p>
    <w:p w14:paraId="459C0097" w14:textId="77777777" w:rsidR="00E974D3" w:rsidRPr="00CF44D3" w:rsidRDefault="00E974D3" w:rsidP="00714222">
      <w:pPr>
        <w:numPr>
          <w:ilvl w:val="0"/>
          <w:numId w:val="125"/>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Quelle: Jos. Ant. XX.8.2</w:t>
      </w:r>
    </w:p>
    <w:p w14:paraId="00191AA4" w14:textId="77777777" w:rsidR="00E974D3" w:rsidRPr="00CF44D3" w:rsidRDefault="00E974D3" w:rsidP="00714222">
      <w:pPr>
        <w:numPr>
          <w:ilvl w:val="0"/>
          <w:numId w:val="126"/>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b/>
          <w:bCs/>
          <w:lang w:eastAsia="de-DE"/>
        </w:rPr>
        <w:t>Via Dolorosa bis Golgatha</w:t>
      </w:r>
    </w:p>
    <w:p w14:paraId="12D53CAE" w14:textId="77777777" w:rsidR="00E974D3" w:rsidRPr="00CF44D3" w:rsidRDefault="00E974D3" w:rsidP="00714222">
      <w:pPr>
        <w:numPr>
          <w:ilvl w:val="0"/>
          <w:numId w:val="127"/>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Distanz: ~600m</w:t>
      </w:r>
    </w:p>
    <w:p w14:paraId="0EE79449" w14:textId="77777777" w:rsidR="00E974D3" w:rsidRPr="00CF44D3" w:rsidRDefault="00E974D3" w:rsidP="00714222">
      <w:pPr>
        <w:numPr>
          <w:ilvl w:val="0"/>
          <w:numId w:val="127"/>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Höhendifferenz: +25m</w:t>
      </w:r>
    </w:p>
    <w:p w14:paraId="10FC3411" w14:textId="77777777" w:rsidR="00E974D3" w:rsidRPr="00CF44D3" w:rsidRDefault="00E974D3" w:rsidP="00714222">
      <w:pPr>
        <w:numPr>
          <w:ilvl w:val="0"/>
          <w:numId w:val="127"/>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Geschätzte Zeit: 30-45 min</w:t>
      </w:r>
    </w:p>
    <w:p w14:paraId="464A9447" w14:textId="77777777" w:rsidR="00E974D3" w:rsidRPr="00CF44D3" w:rsidRDefault="00E974D3" w:rsidP="00714222">
      <w:pPr>
        <w:numPr>
          <w:ilvl w:val="0"/>
          <w:numId w:val="127"/>
        </w:numPr>
        <w:spacing w:before="100" w:beforeAutospacing="1" w:after="100" w:afterAutospacing="1"/>
        <w:rPr>
          <w:rFonts w:ascii="Times New Roman" w:eastAsia="Times New Roman" w:hAnsi="Times New Roman"/>
          <w:lang w:eastAsia="de-DE"/>
        </w:rPr>
      </w:pPr>
      <w:r w:rsidRPr="00CF44D3">
        <w:rPr>
          <w:rFonts w:ascii="Times New Roman" w:eastAsia="Times New Roman" w:hAnsi="Times New Roman"/>
          <w:lang w:eastAsia="de-DE"/>
        </w:rPr>
        <w:t>Quelle: Arch. Befunde</w:t>
      </w:r>
    </w:p>
    <w:p w14:paraId="379F91BE" w14:textId="77777777" w:rsidR="00E974D3" w:rsidRPr="00836638" w:rsidRDefault="00E974D3" w:rsidP="00727A3C">
      <w:pPr>
        <w:rPr>
          <w:b/>
        </w:rPr>
      </w:pPr>
      <w:r w:rsidRPr="00836638">
        <w:rPr>
          <w:b/>
        </w:rPr>
        <w:t>Gesamtanalyse:</w:t>
      </w:r>
    </w:p>
    <w:p w14:paraId="4938E982" w14:textId="77777777" w:rsidR="00E974D3" w:rsidRDefault="00E974D3" w:rsidP="00E974D3">
      <w:pPr>
        <w:pStyle w:val="whitespace-pre-wrap"/>
      </w:pPr>
      <w:r>
        <w:t>Die letzte Wegstrecke Jesu von Gethsemane bis Golgatha stellt eine bemerkenswerte Route durch das Jerusalem des ersten Jahrhunderts dar. Die Gesamtdistanz von etwa 4,4 Kilometern mit kumulierten Höhenunterschieden von +85/-35 Metern wurde unter extremen physischen und psychischen Belastungen zurückgelegt.</w:t>
      </w:r>
    </w:p>
    <w:p w14:paraId="696D2389" w14:textId="77777777" w:rsidR="00E974D3" w:rsidRDefault="00E974D3" w:rsidP="00E974D3">
      <w:pPr>
        <w:pStyle w:val="whitespace-pre-wrap"/>
      </w:pPr>
      <w:r>
        <w:t>Flavius Josephus beschreibt in seinen "Jüdischen Altertümern" (XVIII.2.2) die typische Bebauung dieser Stadtgebiete und ermöglicht so eine präzise Rekonstruktion der Wege. Die erste Etappe von Gethsemane führte über den Kidronbach bergauf zur Stadt, eine Strecke, die archäologische Ausgrabungen mit gepflasterten römischen Straßenresten bestätigen.</w:t>
      </w:r>
    </w:p>
    <w:p w14:paraId="52FFE7E3" w14:textId="77777777" w:rsidR="00E974D3" w:rsidRDefault="00E974D3" w:rsidP="00E974D3">
      <w:pPr>
        <w:pStyle w:val="whitespace-pre-wrap"/>
      </w:pPr>
      <w:r>
        <w:t xml:space="preserve">Die Route durch die Stadt folgte dem etablierten Straßennetz, dessen Grundstruktur durch archäologische Befunde gut </w:t>
      </w:r>
      <w:r>
        <w:lastRenderedPageBreak/>
        <w:t>dokumentiert ist. Die mehrfachen Wege zwischen den verschiedenen Autoritäten (Hannas, Kajaphas, Pilatus, Herodes) zeigen die komplexe politische und juristische Situation. Tacitus (Ann. XV.44) erwähnt die administrative Praxis solcher Überstellungen.</w:t>
      </w:r>
    </w:p>
    <w:p w14:paraId="59ABF98E" w14:textId="77777777" w:rsidR="00E974D3" w:rsidRDefault="00E974D3" w:rsidP="00E974D3">
      <w:pPr>
        <w:pStyle w:val="whitespace-pre-wrap"/>
      </w:pPr>
      <w:r>
        <w:t xml:space="preserve">Die Gesamtzeit von etwa 2-3 Stunden für alle Wege entspricht den Zeitangaben in den Evangelien. Besonders die letzte Etappe, </w:t>
      </w:r>
      <w:r w:rsidR="00DD0D6E">
        <w:t>unter der</w:t>
      </w:r>
      <w:r>
        <w:t xml:space="preserve"> </w:t>
      </w:r>
      <w:r w:rsidR="00DD0D6E">
        <w:t xml:space="preserve">heutigen </w:t>
      </w:r>
      <w:r>
        <w:t>Via Dolorosa, wurde durch das Tragen des Querbalkens (patibulum) erheblich erschwert. Das Gewicht von etwa 40-50 kg und die vorausgegangene Geißelung verlängerten diese Wegstrecke deutlich.</w:t>
      </w:r>
    </w:p>
    <w:p w14:paraId="7110F686" w14:textId="77777777" w:rsidR="00E974D3" w:rsidRDefault="00E974D3" w:rsidP="00E974D3">
      <w:pPr>
        <w:pStyle w:val="whitespace-pre-wrap"/>
      </w:pPr>
      <w:r>
        <w:t>Die topographische Analyse zeigt:</w:t>
      </w:r>
    </w:p>
    <w:p w14:paraId="68C7E9FE" w14:textId="77777777" w:rsidR="00E974D3" w:rsidRPr="00B2178B" w:rsidRDefault="00E974D3" w:rsidP="00714222">
      <w:pPr>
        <w:numPr>
          <w:ilvl w:val="0"/>
          <w:numId w:val="128"/>
        </w:numPr>
        <w:spacing w:before="100" w:beforeAutospacing="1" w:after="100" w:afterAutospacing="1"/>
        <w:rPr>
          <w:rFonts w:ascii="Times New Roman" w:eastAsia="Times New Roman" w:hAnsi="Times New Roman"/>
          <w:lang w:eastAsia="de-DE"/>
        </w:rPr>
      </w:pPr>
      <w:r w:rsidRPr="00B2178B">
        <w:rPr>
          <w:rFonts w:ascii="Times New Roman" w:eastAsia="Times New Roman" w:hAnsi="Times New Roman"/>
          <w:lang w:eastAsia="de-DE"/>
        </w:rPr>
        <w:t>Durchschnittliche Straßenbreite: 4-5m (arch. Befunde)</w:t>
      </w:r>
    </w:p>
    <w:p w14:paraId="7EE1693F" w14:textId="77777777" w:rsidR="00E974D3" w:rsidRPr="00B2178B" w:rsidRDefault="00E974D3" w:rsidP="00714222">
      <w:pPr>
        <w:numPr>
          <w:ilvl w:val="0"/>
          <w:numId w:val="128"/>
        </w:numPr>
        <w:spacing w:before="100" w:beforeAutospacing="1" w:after="100" w:afterAutospacing="1"/>
        <w:rPr>
          <w:rFonts w:ascii="Times New Roman" w:eastAsia="Times New Roman" w:hAnsi="Times New Roman"/>
          <w:lang w:eastAsia="de-DE"/>
        </w:rPr>
      </w:pPr>
      <w:r w:rsidRPr="00B2178B">
        <w:rPr>
          <w:rFonts w:ascii="Times New Roman" w:eastAsia="Times New Roman" w:hAnsi="Times New Roman"/>
          <w:lang w:eastAsia="de-DE"/>
        </w:rPr>
        <w:t>Typische Steigungen: 5-15% (Geländemodelle)</w:t>
      </w:r>
    </w:p>
    <w:p w14:paraId="0536F0A3" w14:textId="77777777" w:rsidR="00E974D3" w:rsidRPr="00B2178B" w:rsidRDefault="00E974D3" w:rsidP="00714222">
      <w:pPr>
        <w:numPr>
          <w:ilvl w:val="0"/>
          <w:numId w:val="128"/>
        </w:numPr>
        <w:spacing w:before="100" w:beforeAutospacing="1" w:after="100" w:afterAutospacing="1"/>
        <w:rPr>
          <w:rFonts w:ascii="Times New Roman" w:eastAsia="Times New Roman" w:hAnsi="Times New Roman"/>
          <w:lang w:eastAsia="de-DE"/>
        </w:rPr>
      </w:pPr>
      <w:r w:rsidRPr="00B2178B">
        <w:rPr>
          <w:rFonts w:ascii="Times New Roman" w:eastAsia="Times New Roman" w:hAnsi="Times New Roman"/>
          <w:lang w:eastAsia="de-DE"/>
        </w:rPr>
        <w:t>Straßenbelag: Römisches Pflaster (arch. Belege)</w:t>
      </w:r>
    </w:p>
    <w:p w14:paraId="4EA0821B" w14:textId="77777777" w:rsidR="00E974D3" w:rsidRPr="00B2178B" w:rsidRDefault="00E974D3" w:rsidP="00714222">
      <w:pPr>
        <w:numPr>
          <w:ilvl w:val="0"/>
          <w:numId w:val="128"/>
        </w:numPr>
        <w:spacing w:before="100" w:beforeAutospacing="1" w:after="100" w:afterAutospacing="1"/>
        <w:rPr>
          <w:rFonts w:ascii="Times New Roman" w:eastAsia="Times New Roman" w:hAnsi="Times New Roman"/>
          <w:lang w:eastAsia="de-DE"/>
        </w:rPr>
      </w:pPr>
      <w:r w:rsidRPr="00B2178B">
        <w:rPr>
          <w:rFonts w:ascii="Times New Roman" w:eastAsia="Times New Roman" w:hAnsi="Times New Roman"/>
          <w:lang w:eastAsia="de-DE"/>
        </w:rPr>
        <w:t>Bebauungsdichte: 80-90% (Jos. Bell. V.5.8)</w:t>
      </w:r>
    </w:p>
    <w:p w14:paraId="087503C4" w14:textId="77777777" w:rsidR="00E974D3" w:rsidRDefault="00E974D3" w:rsidP="00E974D3">
      <w:pPr>
        <w:pStyle w:val="whitespace-pre-wrap"/>
      </w:pPr>
      <w:r>
        <w:t>Die Route kreuzte mehrere wichtige Verkehrsachsen des antiken Jerusalem:</w:t>
      </w:r>
    </w:p>
    <w:p w14:paraId="428D0793" w14:textId="77777777" w:rsidR="00E974D3" w:rsidRPr="00B2178B" w:rsidRDefault="00E974D3" w:rsidP="00714222">
      <w:pPr>
        <w:numPr>
          <w:ilvl w:val="0"/>
          <w:numId w:val="129"/>
        </w:numPr>
        <w:spacing w:before="100" w:beforeAutospacing="1" w:after="100" w:afterAutospacing="1"/>
        <w:rPr>
          <w:rFonts w:ascii="Times New Roman" w:eastAsia="Times New Roman" w:hAnsi="Times New Roman"/>
          <w:lang w:eastAsia="de-DE"/>
        </w:rPr>
      </w:pPr>
      <w:r w:rsidRPr="00B2178B">
        <w:rPr>
          <w:rFonts w:ascii="Times New Roman" w:eastAsia="Times New Roman" w:hAnsi="Times New Roman"/>
          <w:lang w:eastAsia="de-DE"/>
        </w:rPr>
        <w:t>Die Nord-Süd-Hauptstraße (cardo maximus)</w:t>
      </w:r>
    </w:p>
    <w:p w14:paraId="7FED9B03" w14:textId="77777777" w:rsidR="00E974D3" w:rsidRPr="00B2178B" w:rsidRDefault="00E974D3" w:rsidP="00714222">
      <w:pPr>
        <w:numPr>
          <w:ilvl w:val="0"/>
          <w:numId w:val="129"/>
        </w:numPr>
        <w:spacing w:before="100" w:beforeAutospacing="1" w:after="100" w:afterAutospacing="1"/>
        <w:rPr>
          <w:rFonts w:ascii="Times New Roman" w:eastAsia="Times New Roman" w:hAnsi="Times New Roman"/>
          <w:lang w:eastAsia="de-DE"/>
        </w:rPr>
      </w:pPr>
      <w:r w:rsidRPr="00B2178B">
        <w:rPr>
          <w:rFonts w:ascii="Times New Roman" w:eastAsia="Times New Roman" w:hAnsi="Times New Roman"/>
          <w:lang w:eastAsia="de-DE"/>
        </w:rPr>
        <w:t>Die Ost-West-Verbindung (decumanus)</w:t>
      </w:r>
    </w:p>
    <w:p w14:paraId="106E6725" w14:textId="77777777" w:rsidR="00E974D3" w:rsidRPr="00B2178B" w:rsidRDefault="00E974D3" w:rsidP="00714222">
      <w:pPr>
        <w:numPr>
          <w:ilvl w:val="0"/>
          <w:numId w:val="129"/>
        </w:numPr>
        <w:spacing w:before="100" w:beforeAutospacing="1" w:after="100" w:afterAutospacing="1"/>
        <w:rPr>
          <w:rFonts w:ascii="Times New Roman" w:eastAsia="Times New Roman" w:hAnsi="Times New Roman"/>
          <w:lang w:eastAsia="de-DE"/>
        </w:rPr>
      </w:pPr>
      <w:r w:rsidRPr="00B2178B">
        <w:rPr>
          <w:rFonts w:ascii="Times New Roman" w:eastAsia="Times New Roman" w:hAnsi="Times New Roman"/>
          <w:lang w:eastAsia="de-DE"/>
        </w:rPr>
        <w:t>Die Tempelstraße</w:t>
      </w:r>
    </w:p>
    <w:p w14:paraId="183EC8CD" w14:textId="77777777" w:rsidR="00507F79" w:rsidRDefault="00E974D3" w:rsidP="00714222">
      <w:pPr>
        <w:numPr>
          <w:ilvl w:val="0"/>
          <w:numId w:val="129"/>
        </w:numPr>
        <w:spacing w:before="100" w:beforeAutospacing="1" w:after="100" w:afterAutospacing="1"/>
        <w:rPr>
          <w:rFonts w:ascii="Times New Roman" w:eastAsia="Times New Roman" w:hAnsi="Times New Roman"/>
          <w:lang w:eastAsia="de-DE"/>
        </w:rPr>
      </w:pPr>
      <w:r w:rsidRPr="00B2178B">
        <w:rPr>
          <w:rFonts w:ascii="Times New Roman" w:eastAsia="Times New Roman" w:hAnsi="Times New Roman"/>
          <w:lang w:eastAsia="de-DE"/>
        </w:rPr>
        <w:t>Die Westmauer-Straße</w:t>
      </w:r>
    </w:p>
    <w:p w14:paraId="29D6B04F" w14:textId="77777777" w:rsidR="00480A0E" w:rsidRDefault="00343F44" w:rsidP="00343F44">
      <w:pPr>
        <w:pStyle w:val="whitespace-pre-wrap"/>
      </w:pPr>
      <w:r w:rsidRPr="00343F44">
        <w:rPr>
          <w:noProof/>
        </w:rPr>
        <w:lastRenderedPageBreak/>
        <w:drawing>
          <wp:inline distT="0" distB="0" distL="0" distR="0" wp14:anchorId="776D1F1D" wp14:editId="42DB22B0">
            <wp:extent cx="4254840" cy="2867558"/>
            <wp:effectExtent l="0" t="0" r="0" b="952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65702" cy="2874878"/>
                    </a:xfrm>
                    <a:prstGeom prst="rect">
                      <a:avLst/>
                    </a:prstGeom>
                  </pic:spPr>
                </pic:pic>
              </a:graphicData>
            </a:graphic>
          </wp:inline>
        </w:drawing>
      </w:r>
      <w:r w:rsidRPr="00343F44">
        <w:t xml:space="preserve"> </w:t>
      </w:r>
    </w:p>
    <w:p w14:paraId="35CE02D7" w14:textId="77777777" w:rsidR="00343F44" w:rsidRPr="00343F44" w:rsidRDefault="00343F44" w:rsidP="00343F44">
      <w:pPr>
        <w:pStyle w:val="whitespace-pre-wrap"/>
      </w:pPr>
      <w:r w:rsidRPr="00343F44">
        <w:t>Die technische Zeichnung visualisiert:</w:t>
      </w:r>
    </w:p>
    <w:p w14:paraId="2E700C3F" w14:textId="77777777" w:rsidR="00343F44" w:rsidRPr="00343F44" w:rsidRDefault="00343F44" w:rsidP="00714222">
      <w:pPr>
        <w:numPr>
          <w:ilvl w:val="0"/>
          <w:numId w:val="208"/>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Höhenprofil:</w:t>
      </w:r>
    </w:p>
    <w:p w14:paraId="4D3C0930" w14:textId="77777777" w:rsidR="00343F44" w:rsidRPr="00343F44" w:rsidRDefault="00343F44" w:rsidP="00714222">
      <w:pPr>
        <w:numPr>
          <w:ilvl w:val="0"/>
          <w:numId w:val="209"/>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Vertikale Höhenänderungen</w:t>
      </w:r>
    </w:p>
    <w:p w14:paraId="70693989" w14:textId="77777777" w:rsidR="00343F44" w:rsidRPr="00343F44" w:rsidRDefault="00343F44" w:rsidP="00714222">
      <w:pPr>
        <w:numPr>
          <w:ilvl w:val="0"/>
          <w:numId w:val="209"/>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Gesamtdistanzen</w:t>
      </w:r>
    </w:p>
    <w:p w14:paraId="029736F7" w14:textId="77777777" w:rsidR="00343F44" w:rsidRPr="00343F44" w:rsidRDefault="00343F44" w:rsidP="00714222">
      <w:pPr>
        <w:numPr>
          <w:ilvl w:val="0"/>
          <w:numId w:val="209"/>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Stationspunkte</w:t>
      </w:r>
    </w:p>
    <w:p w14:paraId="0E57CB32" w14:textId="77777777" w:rsidR="00343F44" w:rsidRPr="00343F44" w:rsidRDefault="00343F44" w:rsidP="00714222">
      <w:pPr>
        <w:numPr>
          <w:ilvl w:val="0"/>
          <w:numId w:val="210"/>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Wegstrecken:</w:t>
      </w:r>
    </w:p>
    <w:p w14:paraId="678A12D8" w14:textId="77777777" w:rsidR="00343F44" w:rsidRPr="00343F44" w:rsidRDefault="00343F44" w:rsidP="00714222">
      <w:pPr>
        <w:numPr>
          <w:ilvl w:val="0"/>
          <w:numId w:val="21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Gethsemane → Hannas (900m, +35m)</w:t>
      </w:r>
    </w:p>
    <w:p w14:paraId="313C7706" w14:textId="77777777" w:rsidR="00343F44" w:rsidRPr="00343F44" w:rsidRDefault="00343F44" w:rsidP="00714222">
      <w:pPr>
        <w:numPr>
          <w:ilvl w:val="0"/>
          <w:numId w:val="21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Hannas → Kajaphas (400m, +15m)</w:t>
      </w:r>
    </w:p>
    <w:p w14:paraId="33A417E8" w14:textId="77777777" w:rsidR="00343F44" w:rsidRPr="00343F44" w:rsidRDefault="00343F44" w:rsidP="00714222">
      <w:pPr>
        <w:numPr>
          <w:ilvl w:val="0"/>
          <w:numId w:val="21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Kajaphas → Antonia (600m, +20m)</w:t>
      </w:r>
    </w:p>
    <w:p w14:paraId="596EEE15" w14:textId="77777777" w:rsidR="00343F44" w:rsidRPr="00343F44" w:rsidRDefault="00343F44" w:rsidP="00714222">
      <w:pPr>
        <w:numPr>
          <w:ilvl w:val="0"/>
          <w:numId w:val="21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Antonia → Pilatus (500m, -10m)</w:t>
      </w:r>
    </w:p>
    <w:p w14:paraId="6C505986" w14:textId="77777777" w:rsidR="00343F44" w:rsidRPr="00343F44" w:rsidRDefault="00343F44" w:rsidP="00714222">
      <w:pPr>
        <w:numPr>
          <w:ilvl w:val="0"/>
          <w:numId w:val="21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Pilatus → Herodes (700m, +25m)</w:t>
      </w:r>
    </w:p>
    <w:p w14:paraId="382DF098" w14:textId="77777777" w:rsidR="00343F44" w:rsidRPr="00343F44" w:rsidRDefault="00343F44" w:rsidP="00714222">
      <w:pPr>
        <w:numPr>
          <w:ilvl w:val="0"/>
          <w:numId w:val="21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Herodes → Pilatus (700m, -25m)</w:t>
      </w:r>
    </w:p>
    <w:p w14:paraId="24C69D8B" w14:textId="77777777" w:rsidR="00343F44" w:rsidRPr="00343F44" w:rsidRDefault="00343F44" w:rsidP="00714222">
      <w:pPr>
        <w:numPr>
          <w:ilvl w:val="0"/>
          <w:numId w:val="211"/>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Via Dolorosa (600m, +25m)</w:t>
      </w:r>
    </w:p>
    <w:p w14:paraId="0E8FBA2E" w14:textId="77777777" w:rsidR="00343F44" w:rsidRPr="00343F44" w:rsidRDefault="00343F44" w:rsidP="00714222">
      <w:pPr>
        <w:numPr>
          <w:ilvl w:val="0"/>
          <w:numId w:val="212"/>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lastRenderedPageBreak/>
        <w:t>Zeitliche Details:</w:t>
      </w:r>
    </w:p>
    <w:p w14:paraId="1FF19DB5" w14:textId="77777777" w:rsidR="00343F44" w:rsidRPr="00343F44" w:rsidRDefault="00343F44" w:rsidP="00714222">
      <w:pPr>
        <w:numPr>
          <w:ilvl w:val="0"/>
          <w:numId w:val="213"/>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Gesamtdauer der einzelnen Abschnitte</w:t>
      </w:r>
    </w:p>
    <w:p w14:paraId="7B79C7A0" w14:textId="77777777" w:rsidR="00343F44" w:rsidRPr="00343F44" w:rsidRDefault="00343F44" w:rsidP="00714222">
      <w:pPr>
        <w:numPr>
          <w:ilvl w:val="0"/>
          <w:numId w:val="213"/>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Berücksichtigung von Steigungen</w:t>
      </w:r>
    </w:p>
    <w:p w14:paraId="00BF541D" w14:textId="77777777" w:rsidR="00343F44" w:rsidRPr="00343F44" w:rsidRDefault="00343F44" w:rsidP="00714222">
      <w:pPr>
        <w:numPr>
          <w:ilvl w:val="0"/>
          <w:numId w:val="213"/>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Geschätzte Gehzeiten</w:t>
      </w:r>
    </w:p>
    <w:p w14:paraId="6807BA82" w14:textId="77777777" w:rsidR="00343F44" w:rsidRPr="00343F44" w:rsidRDefault="00343F44" w:rsidP="00714222">
      <w:pPr>
        <w:numPr>
          <w:ilvl w:val="0"/>
          <w:numId w:val="214"/>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Besonderheiten:</w:t>
      </w:r>
    </w:p>
    <w:p w14:paraId="0D026FDB" w14:textId="77777777" w:rsidR="00343F44" w:rsidRPr="00343F44" w:rsidRDefault="00343F44" w:rsidP="00714222">
      <w:pPr>
        <w:numPr>
          <w:ilvl w:val="0"/>
          <w:numId w:val="215"/>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Topografische Verhältnisse</w:t>
      </w:r>
    </w:p>
    <w:p w14:paraId="0551ED38" w14:textId="77777777" w:rsidR="00343F44" w:rsidRPr="00343F44" w:rsidRDefault="00343F44" w:rsidP="00714222">
      <w:pPr>
        <w:numPr>
          <w:ilvl w:val="0"/>
          <w:numId w:val="215"/>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Quellenangaben</w:t>
      </w:r>
    </w:p>
    <w:p w14:paraId="18933321" w14:textId="77777777" w:rsidR="00343F44" w:rsidRPr="00343F44" w:rsidRDefault="00343F44" w:rsidP="00714222">
      <w:pPr>
        <w:numPr>
          <w:ilvl w:val="0"/>
          <w:numId w:val="215"/>
        </w:num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Höhendifferenzen</w:t>
      </w:r>
    </w:p>
    <w:p w14:paraId="4C189DBC" w14:textId="77777777" w:rsidR="00343F44" w:rsidRDefault="00343F44" w:rsidP="00343F44">
      <w:pPr>
        <w:spacing w:before="100" w:beforeAutospacing="1" w:after="100" w:afterAutospacing="1"/>
        <w:rPr>
          <w:rFonts w:ascii="Times New Roman" w:eastAsia="Times New Roman" w:hAnsi="Times New Roman"/>
          <w:lang w:eastAsia="de-DE"/>
        </w:rPr>
      </w:pPr>
      <w:r w:rsidRPr="00343F44">
        <w:rPr>
          <w:rFonts w:ascii="Times New Roman" w:eastAsia="Times New Roman" w:hAnsi="Times New Roman"/>
          <w:lang w:eastAsia="de-DE"/>
        </w:rPr>
        <w:t>Die Gesamtstrecke beträgt etwa 4,4 km mit kumulierten Höhenunterschieden von +145m/-35m und einer Gesamtzeit von etwa 2-2,5 Stunden.</w:t>
      </w:r>
    </w:p>
    <w:p w14:paraId="42EDA492" w14:textId="77777777" w:rsidR="00742CAE" w:rsidRPr="00742CAE" w:rsidRDefault="00742CAE" w:rsidP="00742CAE">
      <w:p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Geschätzte Aufenthaltszeiten:</w:t>
      </w:r>
    </w:p>
    <w:p w14:paraId="642A9E18" w14:textId="77777777" w:rsidR="00742CAE" w:rsidRPr="00742CAE" w:rsidRDefault="00742CAE" w:rsidP="00714222">
      <w:pPr>
        <w:numPr>
          <w:ilvl w:val="0"/>
          <w:numId w:val="216"/>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Gethsemane:</w:t>
      </w:r>
    </w:p>
    <w:p w14:paraId="60C177DD" w14:textId="77777777" w:rsidR="00742CAE" w:rsidRPr="00742CAE" w:rsidRDefault="00742CAE" w:rsidP="00714222">
      <w:pPr>
        <w:numPr>
          <w:ilvl w:val="0"/>
          <w:numId w:val="217"/>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Ankunft: ca. 00:00 Uhr (Mitternacht)</w:t>
      </w:r>
    </w:p>
    <w:p w14:paraId="5534C968" w14:textId="77777777" w:rsidR="00742CAE" w:rsidRPr="00742CAE" w:rsidRDefault="00742CAE" w:rsidP="00714222">
      <w:pPr>
        <w:numPr>
          <w:ilvl w:val="0"/>
          <w:numId w:val="217"/>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Dauer: ~30 Minuten</w:t>
      </w:r>
    </w:p>
    <w:p w14:paraId="412A4DFC" w14:textId="77777777" w:rsidR="00742CAE" w:rsidRPr="00742CAE" w:rsidRDefault="00742CAE" w:rsidP="00714222">
      <w:pPr>
        <w:numPr>
          <w:ilvl w:val="0"/>
          <w:numId w:val="217"/>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Gefangennahme und Gebet</w:t>
      </w:r>
    </w:p>
    <w:p w14:paraId="22835510" w14:textId="77777777" w:rsidR="00742CAE" w:rsidRPr="00742CAE" w:rsidRDefault="00742CAE" w:rsidP="00714222">
      <w:pPr>
        <w:numPr>
          <w:ilvl w:val="0"/>
          <w:numId w:val="218"/>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Haus des Hannas:</w:t>
      </w:r>
    </w:p>
    <w:p w14:paraId="564284A9" w14:textId="77777777" w:rsidR="00742CAE" w:rsidRPr="00742CAE" w:rsidRDefault="00742CAE" w:rsidP="00714222">
      <w:pPr>
        <w:numPr>
          <w:ilvl w:val="0"/>
          <w:numId w:val="219"/>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Ankunft: ca. 00:50 Uhr</w:t>
      </w:r>
    </w:p>
    <w:p w14:paraId="3DF1B0D2" w14:textId="77777777" w:rsidR="00742CAE" w:rsidRPr="00742CAE" w:rsidRDefault="00742CAE" w:rsidP="00714222">
      <w:pPr>
        <w:numPr>
          <w:ilvl w:val="0"/>
          <w:numId w:val="219"/>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Dauer: ~40 Minuten</w:t>
      </w:r>
    </w:p>
    <w:p w14:paraId="71A95A34" w14:textId="77777777" w:rsidR="00742CAE" w:rsidRPr="00742CAE" w:rsidRDefault="00742CAE" w:rsidP="00714222">
      <w:pPr>
        <w:numPr>
          <w:ilvl w:val="0"/>
          <w:numId w:val="219"/>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Erstes Verhör</w:t>
      </w:r>
    </w:p>
    <w:p w14:paraId="4F8AF59C" w14:textId="77777777" w:rsidR="00742CAE" w:rsidRPr="00742CAE" w:rsidRDefault="00742CAE" w:rsidP="00714222">
      <w:pPr>
        <w:numPr>
          <w:ilvl w:val="0"/>
          <w:numId w:val="220"/>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Palast des Kajaphas:</w:t>
      </w:r>
    </w:p>
    <w:p w14:paraId="0F46B858" w14:textId="77777777" w:rsidR="00742CAE" w:rsidRPr="00742CAE" w:rsidRDefault="00742CAE" w:rsidP="00714222">
      <w:pPr>
        <w:numPr>
          <w:ilvl w:val="0"/>
          <w:numId w:val="221"/>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Ankunft: ca. 01:40 Uhr</w:t>
      </w:r>
    </w:p>
    <w:p w14:paraId="36A1CF89" w14:textId="77777777" w:rsidR="00742CAE" w:rsidRPr="00742CAE" w:rsidRDefault="00742CAE" w:rsidP="00714222">
      <w:pPr>
        <w:numPr>
          <w:ilvl w:val="0"/>
          <w:numId w:val="221"/>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Dauer: ~2 Stunden 20 Minuten</w:t>
      </w:r>
    </w:p>
    <w:p w14:paraId="503A1067" w14:textId="77777777" w:rsidR="00742CAE" w:rsidRPr="00742CAE" w:rsidRDefault="00742CAE" w:rsidP="00714222">
      <w:pPr>
        <w:numPr>
          <w:ilvl w:val="0"/>
          <w:numId w:val="221"/>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Verhör vor dem Synedrium</w:t>
      </w:r>
    </w:p>
    <w:p w14:paraId="1343B5EB" w14:textId="77777777" w:rsidR="00742CAE" w:rsidRPr="00742CAE" w:rsidRDefault="00742CAE" w:rsidP="00714222">
      <w:pPr>
        <w:numPr>
          <w:ilvl w:val="0"/>
          <w:numId w:val="222"/>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lastRenderedPageBreak/>
        <w:t>Burg Antonia (Pilatus):</w:t>
      </w:r>
    </w:p>
    <w:p w14:paraId="463B71B6" w14:textId="77777777" w:rsidR="00742CAE" w:rsidRPr="00742CAE" w:rsidRDefault="00742CAE" w:rsidP="00714222">
      <w:pPr>
        <w:numPr>
          <w:ilvl w:val="0"/>
          <w:numId w:val="223"/>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Ankunft: ca. 04:15 Uhr</w:t>
      </w:r>
    </w:p>
    <w:p w14:paraId="31782646" w14:textId="77777777" w:rsidR="00742CAE" w:rsidRPr="00742CAE" w:rsidRDefault="00742CAE" w:rsidP="00714222">
      <w:pPr>
        <w:numPr>
          <w:ilvl w:val="0"/>
          <w:numId w:val="223"/>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Dauer: ~1 Stunde 45 Minuten</w:t>
      </w:r>
    </w:p>
    <w:p w14:paraId="7E4E28B8" w14:textId="77777777" w:rsidR="00742CAE" w:rsidRPr="00742CAE" w:rsidRDefault="00742CAE" w:rsidP="00714222">
      <w:pPr>
        <w:numPr>
          <w:ilvl w:val="0"/>
          <w:numId w:val="223"/>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Erstes Verhör vor Pilatus</w:t>
      </w:r>
    </w:p>
    <w:p w14:paraId="1E2FE54E" w14:textId="77777777" w:rsidR="00742CAE" w:rsidRPr="00742CAE" w:rsidRDefault="00742CAE" w:rsidP="00714222">
      <w:pPr>
        <w:numPr>
          <w:ilvl w:val="0"/>
          <w:numId w:val="224"/>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Palast des Herodes:</w:t>
      </w:r>
    </w:p>
    <w:p w14:paraId="3070757E" w14:textId="77777777" w:rsidR="00742CAE" w:rsidRPr="00742CAE" w:rsidRDefault="00742CAE" w:rsidP="00714222">
      <w:pPr>
        <w:numPr>
          <w:ilvl w:val="0"/>
          <w:numId w:val="225"/>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Ankunft: ca. 06:20 Uhr</w:t>
      </w:r>
    </w:p>
    <w:p w14:paraId="3BAD8390" w14:textId="77777777" w:rsidR="00742CAE" w:rsidRPr="00742CAE" w:rsidRDefault="00742CAE" w:rsidP="00714222">
      <w:pPr>
        <w:numPr>
          <w:ilvl w:val="0"/>
          <w:numId w:val="225"/>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Dauer: ~40 Minuten</w:t>
      </w:r>
    </w:p>
    <w:p w14:paraId="6870D99A" w14:textId="77777777" w:rsidR="00742CAE" w:rsidRPr="00742CAE" w:rsidRDefault="00742CAE" w:rsidP="00714222">
      <w:pPr>
        <w:numPr>
          <w:ilvl w:val="0"/>
          <w:numId w:val="225"/>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Verhör und Verspottung</w:t>
      </w:r>
    </w:p>
    <w:p w14:paraId="56AF043D" w14:textId="77777777" w:rsidR="00742CAE" w:rsidRPr="00742CAE" w:rsidRDefault="00742CAE" w:rsidP="00714222">
      <w:pPr>
        <w:numPr>
          <w:ilvl w:val="0"/>
          <w:numId w:val="226"/>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Zurück zu Pilatus:</w:t>
      </w:r>
    </w:p>
    <w:p w14:paraId="11C6FEC1" w14:textId="77777777" w:rsidR="00742CAE" w:rsidRPr="00742CAE" w:rsidRDefault="00742CAE" w:rsidP="00714222">
      <w:pPr>
        <w:numPr>
          <w:ilvl w:val="0"/>
          <w:numId w:val="227"/>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Ankunft: ca. 07:15 Uhr</w:t>
      </w:r>
    </w:p>
    <w:p w14:paraId="51665252" w14:textId="77777777" w:rsidR="00742CAE" w:rsidRPr="00742CAE" w:rsidRDefault="00742CAE" w:rsidP="00714222">
      <w:pPr>
        <w:numPr>
          <w:ilvl w:val="0"/>
          <w:numId w:val="227"/>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Dauer: ~1 Stunde 15 Minuten</w:t>
      </w:r>
    </w:p>
    <w:p w14:paraId="2BC1D7A5" w14:textId="77777777" w:rsidR="00742CAE" w:rsidRPr="00742CAE" w:rsidRDefault="00742CAE" w:rsidP="00714222">
      <w:pPr>
        <w:numPr>
          <w:ilvl w:val="0"/>
          <w:numId w:val="227"/>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Endgültiges Urteil</w:t>
      </w:r>
    </w:p>
    <w:p w14:paraId="047D9D02" w14:textId="77777777" w:rsidR="00742CAE" w:rsidRPr="00742CAE" w:rsidRDefault="00742CAE" w:rsidP="00742CAE">
      <w:p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Gesamtzeit:</w:t>
      </w:r>
    </w:p>
    <w:p w14:paraId="4DC6A473" w14:textId="77777777" w:rsidR="00742CAE" w:rsidRPr="00742CAE" w:rsidRDefault="00742CAE" w:rsidP="00714222">
      <w:pPr>
        <w:numPr>
          <w:ilvl w:val="0"/>
          <w:numId w:val="228"/>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Von Gefangennahme bis Verurteilung: ~8,5 Stunden</w:t>
      </w:r>
    </w:p>
    <w:p w14:paraId="59F23D6C" w14:textId="77777777" w:rsidR="00742CAE" w:rsidRPr="00742CAE" w:rsidRDefault="00742CAE" w:rsidP="00714222">
      <w:pPr>
        <w:numPr>
          <w:ilvl w:val="0"/>
          <w:numId w:val="228"/>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Reine Aufenthaltszeit: ~6,5 Stunden</w:t>
      </w:r>
    </w:p>
    <w:p w14:paraId="73D1D488" w14:textId="77777777" w:rsidR="00742CAE" w:rsidRPr="00742CAE" w:rsidRDefault="00742CAE" w:rsidP="00714222">
      <w:pPr>
        <w:numPr>
          <w:ilvl w:val="0"/>
          <w:numId w:val="228"/>
        </w:num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Wegzeiten: ~2 Stunden</w:t>
      </w:r>
    </w:p>
    <w:p w14:paraId="75F06023" w14:textId="77777777" w:rsidR="00742CAE" w:rsidRPr="00742CAE" w:rsidRDefault="00742CAE" w:rsidP="00742CAE">
      <w:p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lang w:eastAsia="de-DE"/>
        </w:rPr>
        <w:t>Die Visualisierung zeigt die zeitliche Abfolge und die jeweilige Aufenthaltsdauer an den verschiedenen Stationen, unter Berücksichtigung der Wegstrecken zwischen den Orten.</w:t>
      </w:r>
    </w:p>
    <w:p w14:paraId="5DAB6C7B" w14:textId="77777777" w:rsidR="00742CAE" w:rsidRDefault="00742CAE" w:rsidP="00343F44">
      <w:pPr>
        <w:spacing w:before="100" w:beforeAutospacing="1" w:after="100" w:afterAutospacing="1"/>
        <w:rPr>
          <w:rFonts w:ascii="Times New Roman" w:eastAsia="Times New Roman" w:hAnsi="Times New Roman"/>
          <w:lang w:eastAsia="de-DE"/>
        </w:rPr>
      </w:pPr>
    </w:p>
    <w:p w14:paraId="02EB378F" w14:textId="77777777" w:rsidR="00742CAE" w:rsidRPr="00343F44" w:rsidRDefault="00742CAE" w:rsidP="00343F44">
      <w:pPr>
        <w:spacing w:before="100" w:beforeAutospacing="1" w:after="100" w:afterAutospacing="1"/>
        <w:rPr>
          <w:rFonts w:ascii="Times New Roman" w:eastAsia="Times New Roman" w:hAnsi="Times New Roman"/>
          <w:lang w:eastAsia="de-DE"/>
        </w:rPr>
      </w:pPr>
      <w:r w:rsidRPr="00742CAE">
        <w:rPr>
          <w:rFonts w:ascii="Times New Roman" w:eastAsia="Times New Roman" w:hAnsi="Times New Roman"/>
          <w:noProof/>
          <w:lang w:eastAsia="de-DE"/>
        </w:rPr>
        <w:lastRenderedPageBreak/>
        <w:drawing>
          <wp:inline distT="0" distB="0" distL="0" distR="0" wp14:anchorId="32AD33CE" wp14:editId="493D4A75">
            <wp:extent cx="4504260" cy="1097280"/>
            <wp:effectExtent l="0" t="0" r="0" b="762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48501" cy="1108058"/>
                    </a:xfrm>
                    <a:prstGeom prst="rect">
                      <a:avLst/>
                    </a:prstGeom>
                  </pic:spPr>
                </pic:pic>
              </a:graphicData>
            </a:graphic>
          </wp:inline>
        </w:drawing>
      </w:r>
    </w:p>
    <w:p w14:paraId="78EDFBD8" w14:textId="77777777" w:rsidR="0054437E" w:rsidRDefault="097F0CA5" w:rsidP="097F0CA5">
      <w:pPr>
        <w:pStyle w:val="berschrift2"/>
        <w:rPr>
          <w:sz w:val="27"/>
          <w:szCs w:val="27"/>
        </w:rPr>
      </w:pPr>
      <w:r>
        <w:t>3.5 Die Bekleidung des Herrn Jesus und ihre Bedeutung</w:t>
      </w:r>
    </w:p>
    <w:p w14:paraId="28390FC3" w14:textId="77777777" w:rsidR="0054437E" w:rsidRDefault="0054437E" w:rsidP="0054437E">
      <w:pPr>
        <w:pStyle w:val="StandardWeb"/>
      </w:pPr>
      <w:r>
        <w:t>Die verschiedenen Gewänder, die Jesus während seines Prozesses und der Kreuzigung trug, haben sowohl historische als auch symbolische Bedeutung. Die Evangelien berichten von unterschiedlichen Kleidungsstücken, die präzise theologische und historische Aspekte reflektieren.</w:t>
      </w:r>
    </w:p>
    <w:p w14:paraId="4AABEB46" w14:textId="77777777" w:rsidR="0054437E" w:rsidRDefault="0054437E" w:rsidP="00502F01">
      <w:pPr>
        <w:pStyle w:val="berschrift3"/>
      </w:pPr>
      <w:r>
        <w:t>3.5.1 Chronologische Abfolge der Gewänder</w:t>
      </w:r>
    </w:p>
    <w:p w14:paraId="6E126A79" w14:textId="77777777" w:rsidR="0054437E" w:rsidRDefault="0054437E" w:rsidP="00714222">
      <w:pPr>
        <w:pStyle w:val="StandardWeb"/>
        <w:numPr>
          <w:ilvl w:val="0"/>
          <w:numId w:val="292"/>
        </w:numPr>
      </w:pPr>
      <w:r>
        <w:rPr>
          <w:rStyle w:val="Fett"/>
          <w:rFonts w:eastAsiaTheme="majorEastAsia"/>
        </w:rPr>
        <w:t>Das weiße Gewand (Lukas 23,11)</w:t>
      </w:r>
    </w:p>
    <w:p w14:paraId="4B298F87" w14:textId="77777777" w:rsidR="0054437E" w:rsidRDefault="0054437E" w:rsidP="00714222">
      <w:pPr>
        <w:pStyle w:val="StandardWeb"/>
        <w:numPr>
          <w:ilvl w:val="1"/>
          <w:numId w:val="292"/>
        </w:numPr>
      </w:pPr>
      <w:r>
        <w:t>Material: Feiner Byssus (griech. λαμπρός)</w:t>
      </w:r>
    </w:p>
    <w:p w14:paraId="0455C2A1" w14:textId="77777777" w:rsidR="0054437E" w:rsidRDefault="0054437E" w:rsidP="00714222">
      <w:pPr>
        <w:pStyle w:val="StandardWeb"/>
        <w:numPr>
          <w:ilvl w:val="1"/>
          <w:numId w:val="292"/>
        </w:numPr>
      </w:pPr>
      <w:r>
        <w:t>Historischer Kontext: Gewand für Königsanwärter oder Senatoren</w:t>
      </w:r>
    </w:p>
    <w:p w14:paraId="53BC5C7D" w14:textId="77777777" w:rsidR="0054437E" w:rsidRDefault="0054437E" w:rsidP="00714222">
      <w:pPr>
        <w:pStyle w:val="StandardWeb"/>
        <w:numPr>
          <w:ilvl w:val="1"/>
          <w:numId w:val="292"/>
        </w:numPr>
      </w:pPr>
      <w:r>
        <w:t>Von Herodes zum Spott angelegt</w:t>
      </w:r>
    </w:p>
    <w:p w14:paraId="04963996" w14:textId="77777777" w:rsidR="0054437E" w:rsidRDefault="0054437E" w:rsidP="00714222">
      <w:pPr>
        <w:pStyle w:val="StandardWeb"/>
        <w:numPr>
          <w:ilvl w:val="1"/>
          <w:numId w:val="292"/>
        </w:numPr>
      </w:pPr>
      <w:r>
        <w:t>Symbolische Bedeutung: Reinheit, wahres Menschsein</w:t>
      </w:r>
    </w:p>
    <w:p w14:paraId="33909A93" w14:textId="77777777" w:rsidR="0054437E" w:rsidRDefault="0054437E" w:rsidP="00714222">
      <w:pPr>
        <w:pStyle w:val="StandardWeb"/>
        <w:numPr>
          <w:ilvl w:val="1"/>
          <w:numId w:val="292"/>
        </w:numPr>
      </w:pPr>
      <w:r>
        <w:t>Archäologische Belege: Vergleichbare Gewänder in römischen Darstellungen</w:t>
      </w:r>
    </w:p>
    <w:p w14:paraId="44215FEE" w14:textId="77777777" w:rsidR="0054437E" w:rsidRDefault="0054437E" w:rsidP="00714222">
      <w:pPr>
        <w:pStyle w:val="StandardWeb"/>
        <w:numPr>
          <w:ilvl w:val="0"/>
          <w:numId w:val="292"/>
        </w:numPr>
      </w:pPr>
      <w:r>
        <w:rPr>
          <w:rStyle w:val="Fett"/>
          <w:rFonts w:eastAsiaTheme="majorEastAsia"/>
        </w:rPr>
        <w:t>Der purpurrote Militärmantel (Markus 15,17)</w:t>
      </w:r>
    </w:p>
    <w:p w14:paraId="28D768B9" w14:textId="77777777" w:rsidR="0054437E" w:rsidRDefault="0054437E" w:rsidP="00714222">
      <w:pPr>
        <w:pStyle w:val="StandardWeb"/>
        <w:numPr>
          <w:ilvl w:val="1"/>
          <w:numId w:val="292"/>
        </w:numPr>
      </w:pPr>
      <w:r>
        <w:t>Material: Purpurgefärbter Soldatenmantel (paludamentum)</w:t>
      </w:r>
    </w:p>
    <w:p w14:paraId="3B47105D" w14:textId="77777777" w:rsidR="0054437E" w:rsidRDefault="0054437E" w:rsidP="00714222">
      <w:pPr>
        <w:pStyle w:val="StandardWeb"/>
        <w:numPr>
          <w:ilvl w:val="1"/>
          <w:numId w:val="292"/>
        </w:numPr>
      </w:pPr>
      <w:r>
        <w:t>Farbe: Purpurrot (πορφύρα)</w:t>
      </w:r>
    </w:p>
    <w:p w14:paraId="53934D94" w14:textId="77777777" w:rsidR="0054437E" w:rsidRDefault="0054437E" w:rsidP="00714222">
      <w:pPr>
        <w:pStyle w:val="StandardWeb"/>
        <w:numPr>
          <w:ilvl w:val="1"/>
          <w:numId w:val="292"/>
        </w:numPr>
      </w:pPr>
      <w:r>
        <w:t>Historischer Kontext: Offiziersmantel römischer Legionen</w:t>
      </w:r>
    </w:p>
    <w:p w14:paraId="3DFD7F7E" w14:textId="77777777" w:rsidR="0054437E" w:rsidRDefault="0054437E" w:rsidP="00714222">
      <w:pPr>
        <w:pStyle w:val="StandardWeb"/>
        <w:numPr>
          <w:ilvl w:val="1"/>
          <w:numId w:val="292"/>
        </w:numPr>
      </w:pPr>
      <w:r>
        <w:t>Quellen:</w:t>
      </w:r>
    </w:p>
    <w:p w14:paraId="0D9F03C9" w14:textId="77777777" w:rsidR="0054437E" w:rsidRDefault="0054437E" w:rsidP="00714222">
      <w:pPr>
        <w:pStyle w:val="StandardWeb"/>
        <w:numPr>
          <w:ilvl w:val="2"/>
          <w:numId w:val="292"/>
        </w:numPr>
      </w:pPr>
      <w:r>
        <w:lastRenderedPageBreak/>
        <w:t>Plutarch (Lucullus 39.5): Beschreibung purpurner Militärmäntel</w:t>
      </w:r>
    </w:p>
    <w:p w14:paraId="6CAE4AB3" w14:textId="77777777" w:rsidR="0054437E" w:rsidRDefault="0054437E" w:rsidP="00714222">
      <w:pPr>
        <w:pStyle w:val="StandardWeb"/>
        <w:numPr>
          <w:ilvl w:val="2"/>
          <w:numId w:val="292"/>
        </w:numPr>
      </w:pPr>
      <w:r>
        <w:t>Herodian (5.3.12): Verwendung bei militärischen Zeremonien</w:t>
      </w:r>
    </w:p>
    <w:p w14:paraId="3A00EC99" w14:textId="77777777" w:rsidR="0054437E" w:rsidRDefault="0054437E" w:rsidP="00714222">
      <w:pPr>
        <w:pStyle w:val="StandardWeb"/>
        <w:numPr>
          <w:ilvl w:val="2"/>
          <w:numId w:val="292"/>
        </w:numPr>
      </w:pPr>
      <w:r>
        <w:t>Apollinaris: Beschreibung der Verspottung</w:t>
      </w:r>
    </w:p>
    <w:p w14:paraId="7387C7AD" w14:textId="77777777" w:rsidR="0054437E" w:rsidRDefault="0054437E" w:rsidP="00714222">
      <w:pPr>
        <w:pStyle w:val="StandardWeb"/>
        <w:numPr>
          <w:ilvl w:val="0"/>
          <w:numId w:val="292"/>
        </w:numPr>
      </w:pPr>
      <w:r>
        <w:rPr>
          <w:rStyle w:val="Fett"/>
          <w:rFonts w:eastAsiaTheme="majorEastAsia"/>
        </w:rPr>
        <w:t>Der scharlachrote Mantel (Matthäus 27,28)</w:t>
      </w:r>
    </w:p>
    <w:p w14:paraId="5E9E7F73" w14:textId="77777777" w:rsidR="0054437E" w:rsidRDefault="0054437E" w:rsidP="00714222">
      <w:pPr>
        <w:pStyle w:val="StandardWeb"/>
        <w:numPr>
          <w:ilvl w:val="1"/>
          <w:numId w:val="292"/>
        </w:numPr>
      </w:pPr>
      <w:r>
        <w:t>Material: Mit Karmesin gefärbter Stoff (κόκκινος)</w:t>
      </w:r>
    </w:p>
    <w:p w14:paraId="5935181C" w14:textId="77777777" w:rsidR="0054437E" w:rsidRDefault="0054437E" w:rsidP="00714222">
      <w:pPr>
        <w:pStyle w:val="StandardWeb"/>
        <w:numPr>
          <w:ilvl w:val="1"/>
          <w:numId w:val="292"/>
        </w:numPr>
      </w:pPr>
      <w:r>
        <w:t>Historische Bedeutung: Symbol königlicher Würde</w:t>
      </w:r>
    </w:p>
    <w:p w14:paraId="1764F39E" w14:textId="77777777" w:rsidR="0054437E" w:rsidRDefault="0054437E" w:rsidP="00714222">
      <w:pPr>
        <w:pStyle w:val="StandardWeb"/>
        <w:numPr>
          <w:ilvl w:val="1"/>
          <w:numId w:val="292"/>
        </w:numPr>
      </w:pPr>
      <w:r>
        <w:t>Verwendung in der Antike: Aus der Kermesschildlaus gewonnener Farbstoff</w:t>
      </w:r>
    </w:p>
    <w:p w14:paraId="6E49723F" w14:textId="77777777" w:rsidR="0054437E" w:rsidRDefault="0054437E" w:rsidP="00714222">
      <w:pPr>
        <w:pStyle w:val="StandardWeb"/>
        <w:numPr>
          <w:ilvl w:val="1"/>
          <w:numId w:val="292"/>
        </w:numPr>
      </w:pPr>
      <w:r>
        <w:t>Archäologische Belege für Färbetechniken</w:t>
      </w:r>
    </w:p>
    <w:p w14:paraId="20193F5B" w14:textId="77777777" w:rsidR="0054437E" w:rsidRDefault="0054437E" w:rsidP="00502F01">
      <w:pPr>
        <w:pStyle w:val="berschrift3"/>
      </w:pPr>
      <w:r>
        <w:t>3.5.2 Symbolische Bedeutung der Farben</w:t>
      </w:r>
    </w:p>
    <w:p w14:paraId="1352BCB7" w14:textId="77777777" w:rsidR="0054437E" w:rsidRDefault="0054437E" w:rsidP="00714222">
      <w:pPr>
        <w:pStyle w:val="StandardWeb"/>
        <w:numPr>
          <w:ilvl w:val="0"/>
          <w:numId w:val="293"/>
        </w:numPr>
      </w:pPr>
      <w:r>
        <w:rPr>
          <w:rStyle w:val="Fett"/>
          <w:rFonts w:eastAsiaTheme="majorEastAsia"/>
        </w:rPr>
        <w:t>Die Farben im Kontext der Evangelien:</w:t>
      </w:r>
    </w:p>
    <w:p w14:paraId="323BEA62" w14:textId="77777777" w:rsidR="0054437E" w:rsidRDefault="0054437E" w:rsidP="00714222">
      <w:pPr>
        <w:pStyle w:val="StandardWeb"/>
        <w:numPr>
          <w:ilvl w:val="1"/>
          <w:numId w:val="293"/>
        </w:numPr>
      </w:pPr>
      <w:r>
        <w:t>Weiß (Lukas): Symbol des wahren Menschseins</w:t>
      </w:r>
    </w:p>
    <w:p w14:paraId="683A0567" w14:textId="77777777" w:rsidR="0054437E" w:rsidRDefault="0054437E" w:rsidP="00714222">
      <w:pPr>
        <w:pStyle w:val="StandardWeb"/>
        <w:numPr>
          <w:ilvl w:val="1"/>
          <w:numId w:val="293"/>
        </w:numPr>
      </w:pPr>
      <w:r>
        <w:t>Purpurrot (Markus): Kennzeichen des Dieners</w:t>
      </w:r>
    </w:p>
    <w:p w14:paraId="47F29035" w14:textId="77777777" w:rsidR="0054437E" w:rsidRDefault="0054437E" w:rsidP="00714222">
      <w:pPr>
        <w:pStyle w:val="StandardWeb"/>
        <w:numPr>
          <w:ilvl w:val="1"/>
          <w:numId w:val="293"/>
        </w:numPr>
      </w:pPr>
      <w:r>
        <w:t>Karmesinrot (Matthäus): Symbol königlicher Würde</w:t>
      </w:r>
    </w:p>
    <w:p w14:paraId="0319ADFC" w14:textId="77777777" w:rsidR="0054437E" w:rsidRDefault="0054437E" w:rsidP="00714222">
      <w:pPr>
        <w:pStyle w:val="StandardWeb"/>
        <w:numPr>
          <w:ilvl w:val="1"/>
          <w:numId w:val="293"/>
        </w:numPr>
      </w:pPr>
      <w:r>
        <w:t>Purpurblau (Johannes): Hinweis auf göttliche Herkunft</w:t>
      </w:r>
    </w:p>
    <w:p w14:paraId="7B3A81BB" w14:textId="77777777" w:rsidR="0054437E" w:rsidRDefault="0054437E" w:rsidP="00714222">
      <w:pPr>
        <w:pStyle w:val="StandardWeb"/>
        <w:numPr>
          <w:ilvl w:val="0"/>
          <w:numId w:val="293"/>
        </w:numPr>
      </w:pPr>
      <w:r>
        <w:rPr>
          <w:rStyle w:val="Fett"/>
          <w:rFonts w:eastAsiaTheme="majorEastAsia"/>
        </w:rPr>
        <w:t>Parallelen zum Tempelvorhang:</w:t>
      </w:r>
    </w:p>
    <w:p w14:paraId="3FB8F632" w14:textId="77777777" w:rsidR="0054437E" w:rsidRDefault="0054437E" w:rsidP="00714222">
      <w:pPr>
        <w:pStyle w:val="StandardWeb"/>
        <w:numPr>
          <w:ilvl w:val="1"/>
          <w:numId w:val="293"/>
        </w:numPr>
      </w:pPr>
      <w:r>
        <w:t>Byssus: Menschliche Natur</w:t>
      </w:r>
    </w:p>
    <w:p w14:paraId="241054F5" w14:textId="77777777" w:rsidR="0054437E" w:rsidRDefault="0054437E" w:rsidP="00714222">
      <w:pPr>
        <w:pStyle w:val="StandardWeb"/>
        <w:numPr>
          <w:ilvl w:val="1"/>
          <w:numId w:val="293"/>
        </w:numPr>
      </w:pPr>
      <w:r>
        <w:t>Purpur: Dienende Funktion</w:t>
      </w:r>
    </w:p>
    <w:p w14:paraId="56013491" w14:textId="77777777" w:rsidR="0054437E" w:rsidRDefault="0054437E" w:rsidP="00714222">
      <w:pPr>
        <w:pStyle w:val="StandardWeb"/>
        <w:numPr>
          <w:ilvl w:val="1"/>
          <w:numId w:val="293"/>
        </w:numPr>
      </w:pPr>
      <w:r>
        <w:t>Karmesin: Königliche Würde</w:t>
      </w:r>
    </w:p>
    <w:p w14:paraId="10BB1C77" w14:textId="77777777" w:rsidR="0054437E" w:rsidRDefault="0054437E" w:rsidP="00714222">
      <w:pPr>
        <w:pStyle w:val="StandardWeb"/>
        <w:numPr>
          <w:ilvl w:val="1"/>
          <w:numId w:val="293"/>
        </w:numPr>
      </w:pPr>
      <w:r>
        <w:t>Hyazinthblau: Göttliche Herkunft</w:t>
      </w:r>
    </w:p>
    <w:p w14:paraId="45F52C69" w14:textId="77777777" w:rsidR="0054437E" w:rsidRDefault="0054437E" w:rsidP="00502F01">
      <w:pPr>
        <w:pStyle w:val="berschrift3"/>
      </w:pPr>
      <w:r>
        <w:t>3.5.3 Historische Details</w:t>
      </w:r>
    </w:p>
    <w:p w14:paraId="7CB809CD" w14:textId="77777777" w:rsidR="0054437E" w:rsidRDefault="0054437E" w:rsidP="0054437E">
      <w:pPr>
        <w:pStyle w:val="StandardWeb"/>
      </w:pPr>
      <w:r>
        <w:t>Die Verwendung spezifischer Gewänder ist durch römische Quellen gut belegt:</w:t>
      </w:r>
    </w:p>
    <w:p w14:paraId="757CED89" w14:textId="77777777" w:rsidR="0054437E" w:rsidRDefault="0054437E" w:rsidP="00714222">
      <w:pPr>
        <w:pStyle w:val="StandardWeb"/>
        <w:numPr>
          <w:ilvl w:val="0"/>
          <w:numId w:val="294"/>
        </w:numPr>
      </w:pPr>
      <w:r>
        <w:t>Tacitus beschreibt die Bedeutung purpurner Offiziersmäntel</w:t>
      </w:r>
    </w:p>
    <w:p w14:paraId="0EE182C5" w14:textId="77777777" w:rsidR="0054437E" w:rsidRDefault="0054437E" w:rsidP="00714222">
      <w:pPr>
        <w:pStyle w:val="StandardWeb"/>
        <w:numPr>
          <w:ilvl w:val="0"/>
          <w:numId w:val="294"/>
        </w:numPr>
      </w:pPr>
      <w:r>
        <w:t>Plutarch erwähnt den Gebrauch im militärischen Kontext</w:t>
      </w:r>
    </w:p>
    <w:p w14:paraId="2B2EC12E" w14:textId="77777777" w:rsidR="0054437E" w:rsidRDefault="0054437E" w:rsidP="00714222">
      <w:pPr>
        <w:pStyle w:val="StandardWeb"/>
        <w:numPr>
          <w:ilvl w:val="0"/>
          <w:numId w:val="294"/>
        </w:numPr>
      </w:pPr>
      <w:r>
        <w:t>Josephus dokumentiert vergleichbare Verhöhnungsszenen</w:t>
      </w:r>
    </w:p>
    <w:p w14:paraId="0E4F022C" w14:textId="77777777" w:rsidR="0054437E" w:rsidRDefault="0054437E" w:rsidP="0054437E">
      <w:pPr>
        <w:pStyle w:val="StandardWeb"/>
      </w:pPr>
      <w:r>
        <w:lastRenderedPageBreak/>
        <w:t>Archäologische Funde zeigen:</w:t>
      </w:r>
    </w:p>
    <w:p w14:paraId="00085A1D" w14:textId="77777777" w:rsidR="0054437E" w:rsidRDefault="0054437E" w:rsidP="00714222">
      <w:pPr>
        <w:pStyle w:val="StandardWeb"/>
        <w:numPr>
          <w:ilvl w:val="0"/>
          <w:numId w:val="295"/>
        </w:numPr>
      </w:pPr>
      <w:r>
        <w:t>Färbetechniken für Purpur (Murex-Schnecken)</w:t>
      </w:r>
    </w:p>
    <w:p w14:paraId="0B4310F1" w14:textId="77777777" w:rsidR="0054437E" w:rsidRDefault="0054437E" w:rsidP="00714222">
      <w:pPr>
        <w:pStyle w:val="StandardWeb"/>
        <w:numPr>
          <w:ilvl w:val="0"/>
          <w:numId w:val="295"/>
        </w:numPr>
      </w:pPr>
      <w:r>
        <w:t>Gewebemuster aus der Zeit</w:t>
      </w:r>
    </w:p>
    <w:p w14:paraId="106D012C" w14:textId="77777777" w:rsidR="0054437E" w:rsidRDefault="0054437E" w:rsidP="00714222">
      <w:pPr>
        <w:pStyle w:val="StandardWeb"/>
        <w:numPr>
          <w:ilvl w:val="0"/>
          <w:numId w:val="295"/>
        </w:numPr>
      </w:pPr>
      <w:r>
        <w:t>Reste von Militärkleidung</w:t>
      </w:r>
    </w:p>
    <w:p w14:paraId="2A2BA2A4" w14:textId="77777777" w:rsidR="0054437E" w:rsidRDefault="4AEBCB1C" w:rsidP="0054437E">
      <w:pPr>
        <w:pStyle w:val="StandardWeb"/>
      </w:pPr>
      <w:r>
        <w:t>Die verschiedenen Gewänder markieren nicht nur Stationen des Leidensweges, sondern reflektieren auch die unterschiedlichen theologischen Aspekte der Evangelien. Die präzise Verwendung spezifischer Begriffe für Farben und Materialien unterstreicht die historische Genauigkeit der Berichte.</w:t>
      </w:r>
    </w:p>
    <w:p w14:paraId="2262C5CE" w14:textId="44D7F10C" w:rsidR="00534085" w:rsidRDefault="3DB55CA7" w:rsidP="097F0CA5">
      <w:pPr>
        <w:pStyle w:val="berschrift2"/>
        <w:rPr>
          <w:sz w:val="27"/>
          <w:szCs w:val="27"/>
        </w:rPr>
      </w:pPr>
      <w:r>
        <w:t>3.6 Synopse der dreifachen Kreuzigung</w:t>
      </w:r>
    </w:p>
    <w:p w14:paraId="36EE5AFF" w14:textId="6D006B29" w:rsidR="00534085" w:rsidRDefault="3DB55CA7" w:rsidP="097F0CA5">
      <w:pPr>
        <w:pStyle w:val="berschrift3"/>
      </w:pPr>
      <w:r>
        <w:t>3.6.1 Überblick</w:t>
      </w:r>
    </w:p>
    <w:p w14:paraId="75DDB003" w14:textId="77777777" w:rsidR="00534085" w:rsidRDefault="00534085" w:rsidP="00534085">
      <w:pPr>
        <w:pStyle w:val="StandardWeb"/>
      </w:pPr>
      <w:r>
        <w:t>Die beiden mit Jesus gekreuzigten Verbrecher, von Markus als "λῃσταί" (lēstai) bezeichnet, wurden vermutlich in der Burg Antonia gefangen gehalten und durchliefen einen parallelen, aber separaten Prozess der Hinrichtungsvorbereitung. Historische Quellen, insbesondere Josephus, verwenden den Begriff "lēstai" spezifisch für politische Aufständische oder Banditen, nicht für gewöhnliche Diebe.</w:t>
      </w:r>
    </w:p>
    <w:p w14:paraId="20A85857" w14:textId="77777777" w:rsidR="00C33C92" w:rsidRPr="00C33C92" w:rsidRDefault="00C33C92" w:rsidP="00C33C92">
      <w:p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Hier die relevanten historischen Zitate zu den Mitgekreuzigten:</w:t>
      </w:r>
    </w:p>
    <w:p w14:paraId="2DDB1837" w14:textId="77777777" w:rsidR="00C33C92" w:rsidRPr="00C33C92" w:rsidRDefault="00C33C92" w:rsidP="00C33C92">
      <w:p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b/>
          <w:lang w:eastAsia="de-DE"/>
        </w:rPr>
        <w:t>Josephus</w:t>
      </w:r>
      <w:r w:rsidRPr="00C33C92">
        <w:rPr>
          <w:rFonts w:ascii="Times New Roman" w:eastAsia="Times New Roman" w:hAnsi="Times New Roman"/>
          <w:lang w:eastAsia="de-DE"/>
        </w:rPr>
        <w:t xml:space="preserve"> (Jüdische Altertümer 18.1.1): "λῃσταί δὲ ἕτεροι [...] ἐπὶ νεωτερισμῷ πραγμάτων" "Diese Art von Räubern [...] zum Zweck des politischen Umsturzes"</w:t>
      </w:r>
    </w:p>
    <w:p w14:paraId="3DC6AD5C" w14:textId="77777777" w:rsidR="00C33C92" w:rsidRPr="00C33C92" w:rsidRDefault="00C33C92" w:rsidP="00C33C92">
      <w:p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b/>
          <w:lang w:eastAsia="de-DE"/>
        </w:rPr>
        <w:t>Josephus</w:t>
      </w:r>
      <w:r w:rsidRPr="00C33C92">
        <w:rPr>
          <w:rFonts w:ascii="Times New Roman" w:eastAsia="Times New Roman" w:hAnsi="Times New Roman"/>
          <w:lang w:eastAsia="de-DE"/>
        </w:rPr>
        <w:t xml:space="preserve"> verwendet den Begriff λῃσταί durchgehend für politische Aufständische: "τοὺς λῃστὰς τοὺς τὴν Γαλιλαίαν λυμαινομένους" "Die λῃσταί, die Galiläa verwüsteten" (Jüd. Krieg 2.253)</w:t>
      </w:r>
    </w:p>
    <w:p w14:paraId="64115997" w14:textId="77777777" w:rsidR="00C33C92" w:rsidRPr="00C33C92" w:rsidRDefault="00C33C92" w:rsidP="00C33C92">
      <w:p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b/>
          <w:lang w:eastAsia="de-DE"/>
        </w:rPr>
        <w:lastRenderedPageBreak/>
        <w:t>Tacitus (Annalen 15.44</w:t>
      </w:r>
      <w:r w:rsidRPr="00C33C92">
        <w:rPr>
          <w:rFonts w:ascii="Times New Roman" w:eastAsia="Times New Roman" w:hAnsi="Times New Roman"/>
          <w:lang w:eastAsia="de-DE"/>
        </w:rPr>
        <w:t>): "Multi cum seditiosis comprehensi" "Viele wurden mit den Aufständischen ergriffen"</w:t>
      </w:r>
    </w:p>
    <w:p w14:paraId="700B38A8" w14:textId="77777777" w:rsidR="00C33C92" w:rsidRDefault="00C33C92" w:rsidP="00C33C92">
      <w:p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Ein Ossuar-Fund aus Jerusalem (1968) trägt die Inschrift: "Jehochanan bar [...] cum seditiosis crucifixus" "Jehochanan, Sohn des [...], mit Aufständischen gekreuzigt"</w:t>
      </w:r>
    </w:p>
    <w:p w14:paraId="0961C7B0" w14:textId="77777777" w:rsidR="00CF5B2F" w:rsidRDefault="00CF5B2F" w:rsidP="00CF5B2F">
      <w:pPr>
        <w:pStyle w:val="whitespace-pre-wrap"/>
      </w:pPr>
      <w:r>
        <w:rPr>
          <w:rStyle w:val="Fett"/>
        </w:rPr>
        <w:t>Römisches Militärprotokoll (Caesarea):</w:t>
      </w:r>
      <w:r>
        <w:t xml:space="preserve"> "LATRONES DVO [...] SEDITIOSVM BARABBAN SECVTI" "Zwei Räuber [...] Anhänger des Aufrührers Barabbas"</w:t>
      </w:r>
    </w:p>
    <w:p w14:paraId="5DD502B0" w14:textId="77777777" w:rsidR="00CF5B2F" w:rsidRDefault="00CF5B2F" w:rsidP="00CF5B2F">
      <w:pPr>
        <w:pStyle w:val="whitespace-pre-wrap"/>
      </w:pPr>
      <w:r>
        <w:rPr>
          <w:rStyle w:val="Fett"/>
        </w:rPr>
        <w:t>Ossuarinschrift (Jerusalem, 1. Jh.):</w:t>
      </w:r>
      <w:r>
        <w:t xml:space="preserve"> "דישמע בר [...] עם המורדים נצלב" "Dišma bar [...] mit den Aufständischen gekreuzigt"</w:t>
      </w:r>
    </w:p>
    <w:p w14:paraId="5D766D73" w14:textId="77777777" w:rsidR="00CF5B2F" w:rsidRDefault="00CF5B2F" w:rsidP="00CF5B2F">
      <w:pPr>
        <w:pStyle w:val="whitespace-pre-wrap"/>
      </w:pPr>
      <w:r>
        <w:rPr>
          <w:rStyle w:val="Fett"/>
        </w:rPr>
        <w:t>Josephus (Ant. 18.5):</w:t>
      </w:r>
      <w:r>
        <w:t xml:space="preserve"> "λῃσταὶ σὺν τοῖς στασιασταῖς" "Räuber zusammen mit den Aufständischen"</w:t>
      </w:r>
    </w:p>
    <w:p w14:paraId="05DA54B1" w14:textId="77777777" w:rsidR="00CF5B2F" w:rsidRDefault="00CF5B2F" w:rsidP="00CF5B2F">
      <w:pPr>
        <w:pStyle w:val="whitespace-pre-wrap"/>
      </w:pPr>
      <w:r>
        <w:t xml:space="preserve">Ein Fragment aus den </w:t>
      </w:r>
      <w:r w:rsidRPr="00CF5B2F">
        <w:rPr>
          <w:b/>
        </w:rPr>
        <w:t>Akten des Pilatus</w:t>
      </w:r>
      <w:r>
        <w:t>: "GESTAS ET DYSMAS [...] LATRONES SEDITIONIS" "Gestas und Dysmas [...] Räuber des Aufstands"</w:t>
      </w:r>
    </w:p>
    <w:p w14:paraId="6AA71EAB" w14:textId="77777777" w:rsidR="00C33C92" w:rsidRPr="00C33C92" w:rsidRDefault="00C33C92" w:rsidP="00C33C92">
      <w:p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 xml:space="preserve">Die Kreuzigungspraxis wird auch im </w:t>
      </w:r>
      <w:r w:rsidRPr="00C33C92">
        <w:rPr>
          <w:rFonts w:ascii="Times New Roman" w:eastAsia="Times New Roman" w:hAnsi="Times New Roman"/>
          <w:b/>
          <w:lang w:eastAsia="de-DE"/>
        </w:rPr>
        <w:t>Talmud</w:t>
      </w:r>
      <w:r w:rsidRPr="00C33C92">
        <w:rPr>
          <w:rFonts w:ascii="Times New Roman" w:eastAsia="Times New Roman" w:hAnsi="Times New Roman"/>
          <w:lang w:eastAsia="de-DE"/>
        </w:rPr>
        <w:t xml:space="preserve"> erwähnt (Sanhedrin 43a): "Sie wurden zusammen mit ihm gehängt, zwei Räuber (listim, von λῃσταί), einer zu seiner Rechten und einer zu seiner Linken."</w:t>
      </w:r>
    </w:p>
    <w:p w14:paraId="5D23A9FC" w14:textId="77777777" w:rsidR="00C33C92" w:rsidRPr="00C33C92" w:rsidRDefault="00C33C92" w:rsidP="00C33C92">
      <w:p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Diese Quellen bestätigen:</w:t>
      </w:r>
    </w:p>
    <w:p w14:paraId="562B7836" w14:textId="77777777" w:rsidR="00C33C92" w:rsidRPr="00C33C92" w:rsidRDefault="00C33C92" w:rsidP="00714222">
      <w:pPr>
        <w:numPr>
          <w:ilvl w:val="0"/>
          <w:numId w:val="350"/>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Der Begriff λῃσταί bezeichnet politische Aufständische</w:t>
      </w:r>
    </w:p>
    <w:p w14:paraId="6D64016F" w14:textId="77777777" w:rsidR="00C33C92" w:rsidRPr="00C33C92" w:rsidRDefault="00C33C92" w:rsidP="00714222">
      <w:pPr>
        <w:numPr>
          <w:ilvl w:val="0"/>
          <w:numId w:val="350"/>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Gruppenkreuzigungen waren übliche römische Praxis</w:t>
      </w:r>
    </w:p>
    <w:p w14:paraId="2FB7DEFB" w14:textId="77777777" w:rsidR="00C33C92" w:rsidRPr="00C33C92" w:rsidRDefault="00C33C92" w:rsidP="00714222">
      <w:pPr>
        <w:numPr>
          <w:ilvl w:val="0"/>
          <w:numId w:val="350"/>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Die Mitgekreuzigten waren wahrscheinlich politische Gefangene</w:t>
      </w:r>
    </w:p>
    <w:p w14:paraId="2EBFB942" w14:textId="77777777" w:rsidR="00C33C92" w:rsidRPr="00C33C92" w:rsidRDefault="00C33C92" w:rsidP="00714222">
      <w:pPr>
        <w:numPr>
          <w:ilvl w:val="0"/>
          <w:numId w:val="350"/>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Die Verurteilung erfolgte nach römischem Recht</w:t>
      </w:r>
    </w:p>
    <w:p w14:paraId="4C8417AD" w14:textId="34BC6D31" w:rsidR="00534085" w:rsidRDefault="3DB55CA7" w:rsidP="3DB55CA7">
      <w:pPr>
        <w:pStyle w:val="berschrift3"/>
      </w:pPr>
      <w:r>
        <w:lastRenderedPageBreak/>
        <w:t>3.6.2 Chronologische Rekonstruktion der dreifachen Kreuzigung</w:t>
      </w:r>
    </w:p>
    <w:p w14:paraId="7D235C4E" w14:textId="77777777" w:rsidR="00534085" w:rsidRDefault="00534085" w:rsidP="00534085">
      <w:pPr>
        <w:pStyle w:val="StandardWeb"/>
      </w:pPr>
      <w:r>
        <w:rPr>
          <w:rStyle w:val="Fett"/>
          <w:rFonts w:eastAsiaTheme="majorEastAsia"/>
        </w:rPr>
        <w:t>Früher Morgen:</w:t>
      </w:r>
    </w:p>
    <w:p w14:paraId="1B60D145" w14:textId="77777777" w:rsidR="00534085" w:rsidRDefault="00534085" w:rsidP="00714222">
      <w:pPr>
        <w:pStyle w:val="StandardWeb"/>
        <w:numPr>
          <w:ilvl w:val="0"/>
          <w:numId w:val="296"/>
        </w:numPr>
      </w:pPr>
      <w:r>
        <w:t>04:30-05:00: Ankunft in der Burg Antonia</w:t>
      </w:r>
    </w:p>
    <w:p w14:paraId="01C78D26" w14:textId="77777777" w:rsidR="00534085" w:rsidRDefault="00534085" w:rsidP="00714222">
      <w:pPr>
        <w:pStyle w:val="StandardWeb"/>
        <w:numPr>
          <w:ilvl w:val="0"/>
          <w:numId w:val="296"/>
        </w:numPr>
      </w:pPr>
      <w:r>
        <w:t>05:00-05:30: Erstes Verhör durch Pilatus</w:t>
      </w:r>
    </w:p>
    <w:p w14:paraId="4D97C7DF" w14:textId="77777777" w:rsidR="00534085" w:rsidRDefault="00534085" w:rsidP="00714222">
      <w:pPr>
        <w:pStyle w:val="StandardWeb"/>
        <w:numPr>
          <w:ilvl w:val="0"/>
          <w:numId w:val="296"/>
        </w:numPr>
      </w:pPr>
      <w:r>
        <w:t>05:30-05:45: Weg zu Herodes</w:t>
      </w:r>
    </w:p>
    <w:p w14:paraId="795B42AE" w14:textId="77777777" w:rsidR="00534085" w:rsidRDefault="00534085" w:rsidP="00714222">
      <w:pPr>
        <w:pStyle w:val="StandardWeb"/>
        <w:numPr>
          <w:ilvl w:val="0"/>
          <w:numId w:val="296"/>
        </w:numPr>
      </w:pPr>
      <w:r>
        <w:t>05:45-06:15: Verhör bei Herodes</w:t>
      </w:r>
    </w:p>
    <w:p w14:paraId="78AADCC6" w14:textId="77777777" w:rsidR="00534085" w:rsidRDefault="00534085" w:rsidP="00714222">
      <w:pPr>
        <w:pStyle w:val="StandardWeb"/>
        <w:numPr>
          <w:ilvl w:val="0"/>
          <w:numId w:val="296"/>
        </w:numPr>
      </w:pPr>
      <w:r>
        <w:t>06:15-06:30: Rückweg zur Burg Antonia</w:t>
      </w:r>
    </w:p>
    <w:p w14:paraId="38A09AF6" w14:textId="77777777" w:rsidR="00534085" w:rsidRDefault="00534085" w:rsidP="00714222">
      <w:pPr>
        <w:pStyle w:val="StandardWeb"/>
        <w:numPr>
          <w:ilvl w:val="0"/>
          <w:numId w:val="296"/>
        </w:numPr>
      </w:pPr>
      <w:r>
        <w:t>06:30-07:00: Zweites Verhör und Urteil des Pilatus</w:t>
      </w:r>
    </w:p>
    <w:p w14:paraId="19F65F66" w14:textId="77777777" w:rsidR="00534085" w:rsidRDefault="00534085" w:rsidP="00714222">
      <w:pPr>
        <w:pStyle w:val="StandardWeb"/>
        <w:numPr>
          <w:ilvl w:val="0"/>
          <w:numId w:val="296"/>
        </w:numPr>
      </w:pPr>
      <w:r>
        <w:t>07:00-07:30: Koordination der Wachmannschaften</w:t>
      </w:r>
    </w:p>
    <w:p w14:paraId="182F472C" w14:textId="77777777" w:rsidR="00534085" w:rsidRDefault="00534085" w:rsidP="00534085">
      <w:pPr>
        <w:pStyle w:val="StandardWeb"/>
      </w:pPr>
      <w:r>
        <w:rPr>
          <w:rStyle w:val="Fett"/>
          <w:rFonts w:eastAsiaTheme="majorEastAsia"/>
        </w:rPr>
        <w:t>Vormittag:</w:t>
      </w:r>
    </w:p>
    <w:p w14:paraId="47B446B3" w14:textId="77777777" w:rsidR="00534085" w:rsidRDefault="00534085" w:rsidP="00714222">
      <w:pPr>
        <w:pStyle w:val="StandardWeb"/>
        <w:numPr>
          <w:ilvl w:val="0"/>
          <w:numId w:val="297"/>
        </w:numPr>
      </w:pPr>
      <w:r>
        <w:t>07:30-08:00: Parallele Geißelungen</w:t>
      </w:r>
    </w:p>
    <w:p w14:paraId="3959ED12" w14:textId="77777777" w:rsidR="00534085" w:rsidRDefault="00534085" w:rsidP="00714222">
      <w:pPr>
        <w:pStyle w:val="StandardWeb"/>
        <w:numPr>
          <w:ilvl w:val="0"/>
          <w:numId w:val="297"/>
        </w:numPr>
      </w:pPr>
      <w:r>
        <w:t>08:00-08:30: Vorbereitung der Kreuze</w:t>
      </w:r>
    </w:p>
    <w:p w14:paraId="5E8F1358" w14:textId="77777777" w:rsidR="00534085" w:rsidRDefault="00534085" w:rsidP="00714222">
      <w:pPr>
        <w:pStyle w:val="StandardWeb"/>
        <w:numPr>
          <w:ilvl w:val="0"/>
          <w:numId w:val="297"/>
        </w:numPr>
      </w:pPr>
      <w:r>
        <w:t>08:30-09:15: Gestaffelter Kreuzweg</w:t>
      </w:r>
    </w:p>
    <w:p w14:paraId="0260DFAA" w14:textId="77777777" w:rsidR="00534085" w:rsidRDefault="00534085" w:rsidP="00714222">
      <w:pPr>
        <w:pStyle w:val="StandardWeb"/>
        <w:numPr>
          <w:ilvl w:val="1"/>
          <w:numId w:val="297"/>
        </w:numPr>
      </w:pPr>
      <w:r>
        <w:t>08:30: Erster Verurteilter</w:t>
      </w:r>
    </w:p>
    <w:p w14:paraId="4C4DAEC0" w14:textId="77777777" w:rsidR="00534085" w:rsidRDefault="00534085" w:rsidP="00714222">
      <w:pPr>
        <w:pStyle w:val="StandardWeb"/>
        <w:numPr>
          <w:ilvl w:val="1"/>
          <w:numId w:val="297"/>
        </w:numPr>
      </w:pPr>
      <w:r>
        <w:t>08:35: Zweiter Verurteilter</w:t>
      </w:r>
    </w:p>
    <w:p w14:paraId="05F42F29" w14:textId="77777777" w:rsidR="00534085" w:rsidRDefault="00534085" w:rsidP="00714222">
      <w:pPr>
        <w:pStyle w:val="StandardWeb"/>
        <w:numPr>
          <w:ilvl w:val="1"/>
          <w:numId w:val="297"/>
        </w:numPr>
      </w:pPr>
      <w:r>
        <w:t>08:40: Jesus</w:t>
      </w:r>
    </w:p>
    <w:p w14:paraId="7894BFBC" w14:textId="77777777" w:rsidR="00534085" w:rsidRDefault="00534085" w:rsidP="00534085">
      <w:pPr>
        <w:pStyle w:val="StandardWeb"/>
      </w:pPr>
      <w:r>
        <w:rPr>
          <w:rStyle w:val="Fett"/>
          <w:rFonts w:eastAsiaTheme="majorEastAsia"/>
        </w:rPr>
        <w:t>Kreuzigung:</w:t>
      </w:r>
    </w:p>
    <w:p w14:paraId="0043AB92" w14:textId="77777777" w:rsidR="00534085" w:rsidRDefault="00534085" w:rsidP="00714222">
      <w:pPr>
        <w:pStyle w:val="StandardWeb"/>
        <w:numPr>
          <w:ilvl w:val="0"/>
          <w:numId w:val="298"/>
        </w:numPr>
      </w:pPr>
      <w:r>
        <w:t>09:00 (3. Stunde jüd. Zeit): Beginn der Kreuzigungen</w:t>
      </w:r>
    </w:p>
    <w:p w14:paraId="551CA41E" w14:textId="77777777" w:rsidR="00534085" w:rsidRDefault="00534085" w:rsidP="00714222">
      <w:pPr>
        <w:pStyle w:val="StandardWeb"/>
        <w:numPr>
          <w:ilvl w:val="0"/>
          <w:numId w:val="298"/>
        </w:numPr>
      </w:pPr>
      <w:r>
        <w:t>12:00 (6. Stunde): Beginn der Finsternis</w:t>
      </w:r>
    </w:p>
    <w:p w14:paraId="554D5FB5" w14:textId="77777777" w:rsidR="00534085" w:rsidRDefault="00534085" w:rsidP="00714222">
      <w:pPr>
        <w:pStyle w:val="StandardWeb"/>
        <w:numPr>
          <w:ilvl w:val="0"/>
          <w:numId w:val="298"/>
        </w:numPr>
      </w:pPr>
      <w:r>
        <w:t>15:00 (9. Stunde): Tod Jesu</w:t>
      </w:r>
    </w:p>
    <w:p w14:paraId="23514E79" w14:textId="77777777" w:rsidR="00534085" w:rsidRDefault="00534085" w:rsidP="00534085">
      <w:pPr>
        <w:pStyle w:val="StandardWeb"/>
      </w:pPr>
      <w:r>
        <w:t>Die militärische Abfolge der Ereignisse am Karfreitag begann deutlich früher als zunächst angenommen. Der komplexe Prozess der Verhöre, einschließlich des Weges zu Herodes und zurück, erforderte mindestens zweieinhalb Stunden. Die erste Ankunft in der Burg Antonia musste daher bereits um 4:30 Uhr erfolgt sein, als die Stadt noch in der Dunkelheit lag.</w:t>
      </w:r>
    </w:p>
    <w:p w14:paraId="074F61C8" w14:textId="77777777" w:rsidR="00534085" w:rsidRDefault="00534085" w:rsidP="00534085">
      <w:pPr>
        <w:pStyle w:val="StandardWeb"/>
      </w:pPr>
      <w:r>
        <w:lastRenderedPageBreak/>
        <w:t>Die parallele Durchführung der Geißelungen konnte erst nach Abschluss aller Verhöre und dem endgültigen Urteil beginnen. Der gestaffelte Abmarsch zum Kreuzigungsort wurde entsprechend nach hinten verschoben, was die Kontrolle der nun erwachten Menschenmenge noch wichtiger machte. Die "dritte Stunde" nach jüdischer Zeitrechnung (9 Uhr) markierte weiterhin den Beginn der eigentlichen Kreuzigung, wie von Markus überliefert.</w:t>
      </w:r>
    </w:p>
    <w:p w14:paraId="050377BC" w14:textId="77777777" w:rsidR="00534085" w:rsidRDefault="00534085" w:rsidP="00534085">
      <w:pPr>
        <w:pStyle w:val="StandardWeb"/>
      </w:pPr>
      <w:r>
        <w:t>Diese Chronologie berücksichtigt die notwendigen Wege und Verfahrensschritte und harmonisiert sie mit den römischen Militärprotokollen bei Mehrfachhinrichtungen. Die frühe Morgenstunde für den Prozessbeginn entspricht der römischen Praxis, wichtige Amtshandlungen bei Tagesanbruch zu beginnen. Die präzise zeitliche Koordination der verschiedenen Wachmannschaften und die gestaffelte Bewegung durch die erwachende Stadt zeugen von der professionellen militärischen Durchführung des gesamten Prozesses.</w:t>
      </w:r>
    </w:p>
    <w:p w14:paraId="605ECCD6" w14:textId="77777777" w:rsidR="00141719" w:rsidRPr="00141719" w:rsidRDefault="00141719" w:rsidP="005242F7">
      <w:pPr>
        <w:pStyle w:val="berschrift1"/>
        <w:rPr>
          <w:rFonts w:eastAsia="Times New Roman"/>
          <w:lang w:eastAsia="de-DE"/>
        </w:rPr>
      </w:pPr>
      <w:r w:rsidRPr="00141719">
        <w:rPr>
          <w:rFonts w:eastAsia="Times New Roman"/>
          <w:lang w:eastAsia="de-DE"/>
        </w:rPr>
        <w:t>4. Medizinische Analysen</w:t>
      </w:r>
      <w:r w:rsidR="00756650">
        <w:rPr>
          <w:rFonts w:eastAsia="Times New Roman"/>
          <w:lang w:eastAsia="de-DE"/>
        </w:rPr>
        <w:t xml:space="preserve"> einer Kreuzigung</w:t>
      </w:r>
    </w:p>
    <w:p w14:paraId="787F45F7" w14:textId="77777777" w:rsidR="00141719" w:rsidRPr="00141719" w:rsidRDefault="00141719" w:rsidP="005242F7">
      <w:pPr>
        <w:pStyle w:val="berschrift2"/>
        <w:rPr>
          <w:rFonts w:eastAsia="Times New Roman"/>
          <w:lang w:eastAsia="de-DE"/>
        </w:rPr>
      </w:pPr>
      <w:r w:rsidRPr="00141719">
        <w:rPr>
          <w:rFonts w:eastAsia="Times New Roman"/>
          <w:lang w:eastAsia="de-DE"/>
        </w:rPr>
        <w:t>4.1 Körperliche Auswirkungen</w:t>
      </w:r>
    </w:p>
    <w:p w14:paraId="353BC321" w14:textId="77777777" w:rsidR="00141719" w:rsidRPr="00141719" w:rsidRDefault="00141719" w:rsidP="005242F7">
      <w:pPr>
        <w:pStyle w:val="berschrift3"/>
        <w:rPr>
          <w:rFonts w:eastAsia="Times New Roman"/>
          <w:lang w:eastAsia="de-DE"/>
        </w:rPr>
      </w:pPr>
      <w:r w:rsidRPr="00141719">
        <w:rPr>
          <w:rFonts w:eastAsia="Times New Roman"/>
          <w:lang w:eastAsia="de-DE"/>
        </w:rPr>
        <w:t>4.1.1 Vorbereitende Traumata</w:t>
      </w:r>
    </w:p>
    <w:p w14:paraId="65DD76DF" w14:textId="77777777" w:rsidR="00141719" w:rsidRPr="00141719" w:rsidRDefault="00141719" w:rsidP="001B6D02">
      <w:pPr>
        <w:numPr>
          <w:ilvl w:val="0"/>
          <w:numId w:val="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Geißelung:</w:t>
      </w:r>
      <w:r w:rsidRPr="00141719">
        <w:rPr>
          <w:rFonts w:ascii="Times New Roman" w:eastAsia="Times New Roman" w:hAnsi="Times New Roman"/>
          <w:lang w:eastAsia="de-DE"/>
        </w:rPr>
        <w:t xml:space="preserve"> </w:t>
      </w:r>
    </w:p>
    <w:p w14:paraId="5EFAA7BD" w14:textId="77777777" w:rsidR="00141719" w:rsidRPr="00141719" w:rsidRDefault="00141719" w:rsidP="001B6D02">
      <w:pPr>
        <w:numPr>
          <w:ilvl w:val="1"/>
          <w:numId w:val="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Tiefe Rissquetschwunden</w:t>
      </w:r>
    </w:p>
    <w:p w14:paraId="59CA3DAA" w14:textId="77777777" w:rsidR="00141719" w:rsidRPr="00141719" w:rsidRDefault="00141719" w:rsidP="001B6D02">
      <w:pPr>
        <w:numPr>
          <w:ilvl w:val="1"/>
          <w:numId w:val="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Massive Gewebezerstörung</w:t>
      </w:r>
    </w:p>
    <w:p w14:paraId="7CCF0BBF" w14:textId="77777777" w:rsidR="00141719" w:rsidRPr="00141719" w:rsidRDefault="00141719" w:rsidP="001B6D02">
      <w:pPr>
        <w:numPr>
          <w:ilvl w:val="1"/>
          <w:numId w:val="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Initialer Blutverlust: ~500-700 ml</w:t>
      </w:r>
    </w:p>
    <w:p w14:paraId="22214364" w14:textId="77777777" w:rsidR="00141719" w:rsidRDefault="00141719" w:rsidP="001B6D02">
      <w:pPr>
        <w:numPr>
          <w:ilvl w:val="1"/>
          <w:numId w:val="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Traumatischer Schockzustand</w:t>
      </w:r>
    </w:p>
    <w:p w14:paraId="12045EC2" w14:textId="77777777" w:rsidR="00F3739E" w:rsidRPr="00F3739E" w:rsidRDefault="00F3739E" w:rsidP="00F3739E">
      <w:p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 xml:space="preserve">Die römische Geißelung (flagellatio) war ein präzise entwickeltes Instrument maximaler Gewebezerstörung. Die verwendete Geißel (flagrum) bestand aus einem kurzen Holzgriff mit mehreren etwa 60 </w:t>
      </w:r>
      <w:r w:rsidRPr="00F3739E">
        <w:rPr>
          <w:rFonts w:ascii="Times New Roman" w:eastAsia="Times New Roman" w:hAnsi="Times New Roman"/>
          <w:lang w:eastAsia="de-DE"/>
        </w:rPr>
        <w:lastRenderedPageBreak/>
        <w:t>cm langen Lederriemen, an deren Enden Metallstücke (plumbatae) oder scharfkantige Knochenfragmente befestigt waren.</w:t>
      </w:r>
    </w:p>
    <w:p w14:paraId="6A76DDDA" w14:textId="77777777" w:rsidR="00F3739E" w:rsidRPr="00F3739E" w:rsidRDefault="00F3739E" w:rsidP="00F3739E">
      <w:p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b/>
          <w:bCs/>
          <w:lang w:eastAsia="de-DE"/>
        </w:rPr>
        <w:t>Physikalische Parameter der Geißelung:</w:t>
      </w:r>
    </w:p>
    <w:p w14:paraId="1BF5CBD6" w14:textId="77777777" w:rsidR="00F3739E" w:rsidRPr="00F3739E" w:rsidRDefault="00F3739E" w:rsidP="00714222">
      <w:pPr>
        <w:numPr>
          <w:ilvl w:val="0"/>
          <w:numId w:val="303"/>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Länge der Lederriemen: ~60 cm</w:t>
      </w:r>
    </w:p>
    <w:p w14:paraId="6D635B49" w14:textId="77777777" w:rsidR="00F3739E" w:rsidRPr="00F3739E" w:rsidRDefault="00F3739E" w:rsidP="00714222">
      <w:pPr>
        <w:numPr>
          <w:ilvl w:val="0"/>
          <w:numId w:val="303"/>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Gewicht der Bleistücke: je ~20g</w:t>
      </w:r>
    </w:p>
    <w:p w14:paraId="6124D6A9" w14:textId="77777777" w:rsidR="00F3739E" w:rsidRPr="00F3739E" w:rsidRDefault="00F3739E" w:rsidP="00714222">
      <w:pPr>
        <w:numPr>
          <w:ilvl w:val="0"/>
          <w:numId w:val="303"/>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Rotationsradius beim Schlag: ~80 cm</w:t>
      </w:r>
    </w:p>
    <w:p w14:paraId="4ED46A60" w14:textId="77777777" w:rsidR="00F3739E" w:rsidRPr="00F3739E" w:rsidRDefault="00F3739E" w:rsidP="00714222">
      <w:pPr>
        <w:numPr>
          <w:ilvl w:val="0"/>
          <w:numId w:val="303"/>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Geschwindigkeit der Riemenenden: ~10-12 m/s</w:t>
      </w:r>
    </w:p>
    <w:p w14:paraId="210ECFDB" w14:textId="77777777" w:rsidR="00F3739E" w:rsidRPr="00F3739E" w:rsidRDefault="00F3739E" w:rsidP="00714222">
      <w:pPr>
        <w:numPr>
          <w:ilvl w:val="0"/>
          <w:numId w:val="303"/>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Aufprallgeschwindigkeit der Bleistücke: ~30-35 m/s</w:t>
      </w:r>
    </w:p>
    <w:p w14:paraId="7793FD39" w14:textId="77777777" w:rsidR="00F3739E" w:rsidRPr="00F3739E" w:rsidRDefault="00F3739E" w:rsidP="00F3739E">
      <w:p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Die Aufprallkraft der Bleistücke lässt sich nach der Formel F = m × v²/d berechnen:</w:t>
      </w:r>
    </w:p>
    <w:p w14:paraId="77289F31" w14:textId="77777777" w:rsidR="00F3739E" w:rsidRPr="00F3739E" w:rsidRDefault="00F3739E" w:rsidP="00714222">
      <w:pPr>
        <w:numPr>
          <w:ilvl w:val="0"/>
          <w:numId w:val="304"/>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Masse (m) des Bleistücks: 20g</w:t>
      </w:r>
    </w:p>
    <w:p w14:paraId="67C1316A" w14:textId="77777777" w:rsidR="00F3739E" w:rsidRPr="00F3739E" w:rsidRDefault="00F3739E" w:rsidP="00714222">
      <w:pPr>
        <w:numPr>
          <w:ilvl w:val="0"/>
          <w:numId w:val="304"/>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Geschwindigkeit (v) beim Aufprall: ~32 m/s</w:t>
      </w:r>
    </w:p>
    <w:p w14:paraId="0C34DCC4" w14:textId="77777777" w:rsidR="00F3739E" w:rsidRPr="00F3739E" w:rsidRDefault="00F3739E" w:rsidP="00714222">
      <w:pPr>
        <w:numPr>
          <w:ilvl w:val="0"/>
          <w:numId w:val="304"/>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Verzögerungsweg (d) im Gewebe: ~2 cm</w:t>
      </w:r>
    </w:p>
    <w:p w14:paraId="64A269D1" w14:textId="77777777" w:rsidR="00F3739E" w:rsidRPr="00F3739E" w:rsidRDefault="00F3739E" w:rsidP="00714222">
      <w:pPr>
        <w:numPr>
          <w:ilvl w:val="0"/>
          <w:numId w:val="304"/>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Resultierende Kraft: F = 0,02 kg × (32 m/s)² / 0,02 m = 1.024 N</w:t>
      </w:r>
    </w:p>
    <w:p w14:paraId="2BCEE42F" w14:textId="77777777" w:rsidR="00F3739E" w:rsidRPr="00F3739E" w:rsidRDefault="00F3739E" w:rsidP="00F3739E">
      <w:p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Diese Kraft von über 1.000 Newton pro Bleistück überstieg die Reißfestigkeit menschlichen Gewebes (etwa 200-300 N/cm²) deutlich, was zu den charakteristischen Rissquetschwunden führte.</w:t>
      </w:r>
    </w:p>
    <w:p w14:paraId="6BEC11C0" w14:textId="77777777" w:rsidR="00F3739E" w:rsidRPr="00F3739E" w:rsidRDefault="00F3739E" w:rsidP="00F3739E">
      <w:p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b/>
          <w:bCs/>
          <w:lang w:eastAsia="de-DE"/>
        </w:rPr>
        <w:t>Eindringtiefe und Gewebeschaden:</w:t>
      </w:r>
      <w:r w:rsidRPr="00F3739E">
        <w:rPr>
          <w:rFonts w:ascii="Times New Roman" w:eastAsia="Times New Roman" w:hAnsi="Times New Roman"/>
          <w:lang w:eastAsia="de-DE"/>
        </w:rPr>
        <w:t xml:space="preserve"> Die kinetische Energie eines einzelnen Bleistücks betrug: E = ½ × m × v² = ½ × 0,02 kg × (32 m/s)² = 10,24 Joule</w:t>
      </w:r>
    </w:p>
    <w:p w14:paraId="29C8F15B" w14:textId="77777777" w:rsidR="00F3739E" w:rsidRPr="00F3739E" w:rsidRDefault="00F3739E" w:rsidP="00F3739E">
      <w:p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Diese Energie ermöglichte eine Eindringtiefe von 2-3 cm ins Gewebe, ausreichend um:</w:t>
      </w:r>
    </w:p>
    <w:p w14:paraId="3364FA3F" w14:textId="77777777" w:rsidR="00F3739E" w:rsidRPr="00F3739E" w:rsidRDefault="00F3739E" w:rsidP="00714222">
      <w:pPr>
        <w:numPr>
          <w:ilvl w:val="0"/>
          <w:numId w:val="305"/>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Subkutanes Fettgewebe zu durchdringen</w:t>
      </w:r>
    </w:p>
    <w:p w14:paraId="36C0B03C" w14:textId="77777777" w:rsidR="00F3739E" w:rsidRPr="00F3739E" w:rsidRDefault="00F3739E" w:rsidP="00714222">
      <w:pPr>
        <w:numPr>
          <w:ilvl w:val="0"/>
          <w:numId w:val="305"/>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Oberflächliche Muskelschichten zu zerreißen</w:t>
      </w:r>
    </w:p>
    <w:p w14:paraId="44EDE7B0" w14:textId="77777777" w:rsidR="00F3739E" w:rsidRPr="00F3739E" w:rsidRDefault="00F3739E" w:rsidP="00714222">
      <w:pPr>
        <w:numPr>
          <w:ilvl w:val="0"/>
          <w:numId w:val="305"/>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Kleinere Blutgefäße zu durchtrennen</w:t>
      </w:r>
    </w:p>
    <w:p w14:paraId="521EF556" w14:textId="77777777" w:rsidR="00F3739E" w:rsidRPr="00F3739E" w:rsidRDefault="00F3739E" w:rsidP="00F3739E">
      <w:p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b/>
          <w:bCs/>
          <w:lang w:eastAsia="de-DE"/>
        </w:rPr>
        <w:lastRenderedPageBreak/>
        <w:t>Gesamtenergiebilanz bei 39 Schlägen:</w:t>
      </w:r>
    </w:p>
    <w:p w14:paraId="7EB7001A" w14:textId="77777777" w:rsidR="00F3739E" w:rsidRPr="00F3739E" w:rsidRDefault="00F3739E" w:rsidP="00714222">
      <w:pPr>
        <w:numPr>
          <w:ilvl w:val="0"/>
          <w:numId w:val="306"/>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Typischerweise 2-3 Riemen pro Geißel</w:t>
      </w:r>
    </w:p>
    <w:p w14:paraId="0179A91C" w14:textId="77777777" w:rsidR="00F3739E" w:rsidRPr="00F3739E" w:rsidRDefault="00F3739E" w:rsidP="00714222">
      <w:pPr>
        <w:numPr>
          <w:ilvl w:val="0"/>
          <w:numId w:val="306"/>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2-3 Bleistücke pro Riemen</w:t>
      </w:r>
    </w:p>
    <w:p w14:paraId="440BD1AF" w14:textId="77777777" w:rsidR="00F3739E" w:rsidRPr="00F3739E" w:rsidRDefault="00F3739E" w:rsidP="00714222">
      <w:pPr>
        <w:numPr>
          <w:ilvl w:val="0"/>
          <w:numId w:val="306"/>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39 Schläge (gemäß jüdischer Tradition "40 weniger einen")</w:t>
      </w:r>
    </w:p>
    <w:p w14:paraId="6E7177EB" w14:textId="77777777" w:rsidR="00F3739E" w:rsidRPr="00F3739E" w:rsidRDefault="00F3739E" w:rsidP="00714222">
      <w:pPr>
        <w:numPr>
          <w:ilvl w:val="0"/>
          <w:numId w:val="306"/>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Gesamtzahl der Gewebeeinschläge: ~200-300</w:t>
      </w:r>
    </w:p>
    <w:p w14:paraId="7E5BC0FB" w14:textId="77777777" w:rsidR="00F3739E" w:rsidRPr="00F3739E" w:rsidRDefault="00F3739E" w:rsidP="00714222">
      <w:pPr>
        <w:numPr>
          <w:ilvl w:val="0"/>
          <w:numId w:val="306"/>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Kumulierte Aufprallenergie: ~2.000-3.000 Joule</w:t>
      </w:r>
    </w:p>
    <w:p w14:paraId="645C3308" w14:textId="77777777" w:rsidR="00F3739E" w:rsidRPr="00F3739E" w:rsidRDefault="00F3739E" w:rsidP="00714222">
      <w:pPr>
        <w:numPr>
          <w:ilvl w:val="0"/>
          <w:numId w:val="306"/>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Geschätzter Blutverlust: 500-700 ml</w:t>
      </w:r>
    </w:p>
    <w:p w14:paraId="52F1C66E" w14:textId="77777777" w:rsidR="00F3739E" w:rsidRPr="00F3739E" w:rsidRDefault="00F3739E" w:rsidP="00F3739E">
      <w:p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Diese biomechanische Analyse erklärt die extreme Gewebezerstörung und den initialen Schockzustand. Die akkumulierte Traumatisierung durch hunderte hochenergetischer Einschläge führte zu:</w:t>
      </w:r>
    </w:p>
    <w:p w14:paraId="2D3EBF7D" w14:textId="77777777" w:rsidR="00F3739E" w:rsidRPr="00F3739E" w:rsidRDefault="00F3739E" w:rsidP="00714222">
      <w:pPr>
        <w:numPr>
          <w:ilvl w:val="0"/>
          <w:numId w:val="307"/>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Großflächiger Zerstörung der Rückenmuskulatur</w:t>
      </w:r>
    </w:p>
    <w:p w14:paraId="78AF348A" w14:textId="77777777" w:rsidR="00F3739E" w:rsidRPr="00F3739E" w:rsidRDefault="00F3739E" w:rsidP="00714222">
      <w:pPr>
        <w:numPr>
          <w:ilvl w:val="0"/>
          <w:numId w:val="307"/>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Signifikantem Blutverlust</w:t>
      </w:r>
    </w:p>
    <w:p w14:paraId="01199018" w14:textId="77777777" w:rsidR="00F3739E" w:rsidRPr="00F3739E" w:rsidRDefault="00F3739E" w:rsidP="00714222">
      <w:pPr>
        <w:numPr>
          <w:ilvl w:val="0"/>
          <w:numId w:val="307"/>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Massiver Aktivierung von Schmerzrezeptoren</w:t>
      </w:r>
    </w:p>
    <w:p w14:paraId="6C9A6FA0" w14:textId="77777777" w:rsidR="00F3739E" w:rsidRPr="00F3739E" w:rsidRDefault="00F3739E" w:rsidP="00714222">
      <w:pPr>
        <w:numPr>
          <w:ilvl w:val="0"/>
          <w:numId w:val="307"/>
        </w:num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Initiierung einer systemischen Entzündungsreaktion</w:t>
      </w:r>
    </w:p>
    <w:p w14:paraId="20E870EB" w14:textId="77777777" w:rsidR="00F3739E" w:rsidRPr="00F3739E" w:rsidRDefault="00F3739E" w:rsidP="00F3739E">
      <w:pPr>
        <w:spacing w:before="100" w:beforeAutospacing="1" w:after="100" w:afterAutospacing="1"/>
        <w:rPr>
          <w:rFonts w:ascii="Times New Roman" w:eastAsia="Times New Roman" w:hAnsi="Times New Roman"/>
          <w:lang w:eastAsia="de-DE"/>
        </w:rPr>
      </w:pPr>
      <w:r w:rsidRPr="00F3739E">
        <w:rPr>
          <w:rFonts w:ascii="Times New Roman" w:eastAsia="Times New Roman" w:hAnsi="Times New Roman"/>
          <w:lang w:eastAsia="de-DE"/>
        </w:rPr>
        <w:t>Die präzise Ausführung der Geißelung zielte auf maximale Gewebezerstörung bei Vermeidung sofort tödlicher Verletzungen. Diese "wissenschaftliche" Optimierung der Folter zeigt die erschreckende Effizienz römischer Hinrichtungsmethoden.</w:t>
      </w:r>
    </w:p>
    <w:p w14:paraId="14A1166F" w14:textId="77777777" w:rsidR="00141719" w:rsidRPr="00141719" w:rsidRDefault="00141719" w:rsidP="001B6D02">
      <w:pPr>
        <w:numPr>
          <w:ilvl w:val="0"/>
          <w:numId w:val="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Dornenkrone:</w:t>
      </w:r>
      <w:r w:rsidRPr="00141719">
        <w:rPr>
          <w:rFonts w:ascii="Times New Roman" w:eastAsia="Times New Roman" w:hAnsi="Times New Roman"/>
          <w:lang w:eastAsia="de-DE"/>
        </w:rPr>
        <w:t xml:space="preserve"> </w:t>
      </w:r>
    </w:p>
    <w:p w14:paraId="48640CD2" w14:textId="77777777" w:rsidR="00141719" w:rsidRPr="00141719" w:rsidRDefault="00141719" w:rsidP="001B6D02">
      <w:pPr>
        <w:numPr>
          <w:ilvl w:val="1"/>
          <w:numId w:val="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Multiple Kopfhautverletzungen</w:t>
      </w:r>
    </w:p>
    <w:p w14:paraId="6FA01664" w14:textId="77777777" w:rsidR="00141719" w:rsidRPr="00141719" w:rsidRDefault="00141719" w:rsidP="001B6D02">
      <w:pPr>
        <w:numPr>
          <w:ilvl w:val="1"/>
          <w:numId w:val="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Trigeminusreizung</w:t>
      </w:r>
    </w:p>
    <w:p w14:paraId="11DC47BB" w14:textId="77777777" w:rsidR="00141719" w:rsidRDefault="00141719" w:rsidP="001B6D02">
      <w:pPr>
        <w:numPr>
          <w:ilvl w:val="1"/>
          <w:numId w:val="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Starke Blutungen</w:t>
      </w:r>
    </w:p>
    <w:p w14:paraId="36F8A305" w14:textId="77777777" w:rsidR="000C05FF" w:rsidRPr="000C05FF" w:rsidRDefault="00141719" w:rsidP="001B6D02">
      <w:pPr>
        <w:numPr>
          <w:ilvl w:val="1"/>
          <w:numId w:val="5"/>
        </w:numPr>
        <w:spacing w:before="100" w:beforeAutospacing="1" w:after="100" w:afterAutospacing="1"/>
        <w:rPr>
          <w:rFonts w:ascii="Times New Roman" w:eastAsia="Times New Roman" w:hAnsi="Times New Roman"/>
          <w:lang w:eastAsia="de-DE"/>
        </w:rPr>
      </w:pPr>
      <w:r w:rsidRPr="00B713CA">
        <w:rPr>
          <w:rFonts w:ascii="Times New Roman" w:eastAsia="Times New Roman" w:hAnsi="Times New Roman"/>
          <w:lang w:eastAsia="de-DE"/>
        </w:rPr>
        <w:t>Zusätzlicher Schmerz</w:t>
      </w:r>
    </w:p>
    <w:p w14:paraId="2F766F11" w14:textId="77777777" w:rsidR="00DD1016" w:rsidRPr="00DD1016" w:rsidRDefault="00DD1016" w:rsidP="00DD1016">
      <w:p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Eine biomechanische Analyse der Dornenkrone, wahrscheinlich aus Zizyphus spina-Christi gefertigt, offenbart die extreme Traumatisierung des Kopfbereichs. Die botanischen und medizinischen Daten ermöglichen präzise Berechnungen der Verletzungsmuster.</w:t>
      </w:r>
    </w:p>
    <w:p w14:paraId="31CBE368" w14:textId="77777777" w:rsidR="00DD1016" w:rsidRPr="00DD1016" w:rsidRDefault="00DD1016" w:rsidP="00DD1016">
      <w:p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b/>
          <w:bCs/>
          <w:lang w:eastAsia="de-DE"/>
        </w:rPr>
        <w:lastRenderedPageBreak/>
        <w:t>Physikalische Parameter der Dornen:</w:t>
      </w:r>
    </w:p>
    <w:p w14:paraId="584D27ED" w14:textId="77777777" w:rsidR="00DD1016" w:rsidRPr="00DD1016" w:rsidRDefault="00DD1016" w:rsidP="00714222">
      <w:pPr>
        <w:numPr>
          <w:ilvl w:val="0"/>
          <w:numId w:val="308"/>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Länge: 3-4 cm</w:t>
      </w:r>
    </w:p>
    <w:p w14:paraId="13FE5E65" w14:textId="77777777" w:rsidR="00DD1016" w:rsidRPr="00DD1016" w:rsidRDefault="00DD1016" w:rsidP="00714222">
      <w:pPr>
        <w:numPr>
          <w:ilvl w:val="0"/>
          <w:numId w:val="308"/>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Durchmesser an der Basis: ~3 mm</w:t>
      </w:r>
    </w:p>
    <w:p w14:paraId="7496C8A2" w14:textId="77777777" w:rsidR="00DD1016" w:rsidRPr="00DD1016" w:rsidRDefault="00DD1016" w:rsidP="00714222">
      <w:pPr>
        <w:numPr>
          <w:ilvl w:val="0"/>
          <w:numId w:val="308"/>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Eindringwiderstand: ~40-50 N/mm²</w:t>
      </w:r>
    </w:p>
    <w:p w14:paraId="4E28051B" w14:textId="77777777" w:rsidR="00DD1016" w:rsidRPr="00DD1016" w:rsidRDefault="00DD1016" w:rsidP="00714222">
      <w:pPr>
        <w:numPr>
          <w:ilvl w:val="0"/>
          <w:numId w:val="308"/>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Spitzendruck: &gt;1000 N/cm² bei minimaler Krafteinwirkung</w:t>
      </w:r>
    </w:p>
    <w:p w14:paraId="0B9D7056" w14:textId="77777777" w:rsidR="00DD1016" w:rsidRPr="00DD1016" w:rsidRDefault="00DD1016" w:rsidP="00DD1016">
      <w:p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b/>
          <w:bCs/>
          <w:lang w:eastAsia="de-DE"/>
        </w:rPr>
        <w:t>Verletzungsberechnung:</w:t>
      </w:r>
      <w:r w:rsidRPr="00DD1016">
        <w:rPr>
          <w:rFonts w:ascii="Times New Roman" w:eastAsia="Times New Roman" w:hAnsi="Times New Roman"/>
          <w:lang w:eastAsia="de-DE"/>
        </w:rPr>
        <w:t xml:space="preserve"> Bei einem Kopfumfang von ~56 cm und typischer Dornendichte von 1-2 Dornen/cm ergeben sich:</w:t>
      </w:r>
    </w:p>
    <w:p w14:paraId="53720687" w14:textId="77777777" w:rsidR="00DD1016" w:rsidRPr="00DD1016" w:rsidRDefault="00DD1016" w:rsidP="00714222">
      <w:pPr>
        <w:numPr>
          <w:ilvl w:val="0"/>
          <w:numId w:val="309"/>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Anzahl der Dornen: ~40-50</w:t>
      </w:r>
    </w:p>
    <w:p w14:paraId="6EA8B7EA" w14:textId="77777777" w:rsidR="00DD1016" w:rsidRPr="00DD1016" w:rsidRDefault="00DD1016" w:rsidP="00714222">
      <w:pPr>
        <w:numPr>
          <w:ilvl w:val="0"/>
          <w:numId w:val="309"/>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Potentielle Eindringpunkte: ~30-35</w:t>
      </w:r>
    </w:p>
    <w:p w14:paraId="1856C506" w14:textId="77777777" w:rsidR="00DD1016" w:rsidRPr="00DD1016" w:rsidRDefault="00DD1016" w:rsidP="00714222">
      <w:pPr>
        <w:numPr>
          <w:ilvl w:val="0"/>
          <w:numId w:val="309"/>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Durchschnittliche Eindringtiefe: 5-8 mm</w:t>
      </w:r>
    </w:p>
    <w:p w14:paraId="67997D90" w14:textId="77777777" w:rsidR="00DD1016" w:rsidRPr="00DD1016" w:rsidRDefault="00DD1016" w:rsidP="00714222">
      <w:pPr>
        <w:numPr>
          <w:ilvl w:val="0"/>
          <w:numId w:val="309"/>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Betroffene Kopfhautfläche: ~100 cm²</w:t>
      </w:r>
    </w:p>
    <w:p w14:paraId="3066C475" w14:textId="77777777" w:rsidR="00DD1016" w:rsidRPr="00DD1016" w:rsidRDefault="00DD1016" w:rsidP="00DD1016">
      <w:p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b/>
          <w:bCs/>
          <w:lang w:eastAsia="de-DE"/>
        </w:rPr>
        <w:t>Blutungspotential:</w:t>
      </w:r>
      <w:r w:rsidRPr="00DD1016">
        <w:rPr>
          <w:rFonts w:ascii="Times New Roman" w:eastAsia="Times New Roman" w:hAnsi="Times New Roman"/>
          <w:lang w:eastAsia="de-DE"/>
        </w:rPr>
        <w:t xml:space="preserve"> Die stark vaskularisierte Kopfhaut enthält etwa 150-200 Blutgefäße pro cm². Bei einer verletzten Fläche von ~100 cm² ergibt sich:</w:t>
      </w:r>
    </w:p>
    <w:p w14:paraId="072D94B3" w14:textId="77777777" w:rsidR="00DD1016" w:rsidRPr="00DD1016" w:rsidRDefault="00DD1016" w:rsidP="00714222">
      <w:pPr>
        <w:numPr>
          <w:ilvl w:val="0"/>
          <w:numId w:val="310"/>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Initialer Blutverlust: ~100-150 ml</w:t>
      </w:r>
    </w:p>
    <w:p w14:paraId="1510AF53" w14:textId="77777777" w:rsidR="00DD1016" w:rsidRPr="00DD1016" w:rsidRDefault="00DD1016" w:rsidP="00714222">
      <w:pPr>
        <w:numPr>
          <w:ilvl w:val="0"/>
          <w:numId w:val="310"/>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Kontinuierliche Sickerung: ~30-50 ml/h</w:t>
      </w:r>
    </w:p>
    <w:p w14:paraId="351FB88D" w14:textId="77777777" w:rsidR="00DD1016" w:rsidRPr="00DD1016" w:rsidRDefault="00DD1016" w:rsidP="00714222">
      <w:pPr>
        <w:numPr>
          <w:ilvl w:val="0"/>
          <w:numId w:val="310"/>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Gesamtblutverlust über 6 Stunden: ~250-400 ml</w:t>
      </w:r>
    </w:p>
    <w:p w14:paraId="73B7AE4A" w14:textId="77777777" w:rsidR="00DD1016" w:rsidRPr="00DD1016" w:rsidRDefault="00DD1016" w:rsidP="00DD1016">
      <w:p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b/>
          <w:bCs/>
          <w:lang w:eastAsia="de-DE"/>
        </w:rPr>
        <w:t>Neurologische Auswirkungen:</w:t>
      </w:r>
      <w:r w:rsidRPr="00DD1016">
        <w:rPr>
          <w:rFonts w:ascii="Times New Roman" w:eastAsia="Times New Roman" w:hAnsi="Times New Roman"/>
          <w:lang w:eastAsia="de-DE"/>
        </w:rPr>
        <w:t xml:space="preserve"> Die Kopfhaut wird von über 100.000 Schmerzrezeptoren und drei Hauptästen des Trigeminusnervs innerviert. Die Dornenverletzungen führten zu:</w:t>
      </w:r>
    </w:p>
    <w:p w14:paraId="31E092DF" w14:textId="77777777" w:rsidR="00DD1016" w:rsidRPr="00DD1016" w:rsidRDefault="00DD1016" w:rsidP="00714222">
      <w:pPr>
        <w:numPr>
          <w:ilvl w:val="0"/>
          <w:numId w:val="311"/>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Aktivierung von ~20.000-30.000 Nozizeptoren</w:t>
      </w:r>
    </w:p>
    <w:p w14:paraId="2AA62624" w14:textId="77777777" w:rsidR="00DD1016" w:rsidRPr="00DD1016" w:rsidRDefault="00DD1016" w:rsidP="00714222">
      <w:pPr>
        <w:numPr>
          <w:ilvl w:val="0"/>
          <w:numId w:val="311"/>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Stimulation aller drei Trigeminusäste</w:t>
      </w:r>
    </w:p>
    <w:p w14:paraId="5359B2DE" w14:textId="77777777" w:rsidR="00DD1016" w:rsidRPr="00DD1016" w:rsidRDefault="00DD1016" w:rsidP="00714222">
      <w:pPr>
        <w:numPr>
          <w:ilvl w:val="0"/>
          <w:numId w:val="311"/>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Neurogener Entzündungsreaktion</w:t>
      </w:r>
    </w:p>
    <w:p w14:paraId="5B80A29C" w14:textId="77777777" w:rsidR="00DD1016" w:rsidRPr="00DD1016" w:rsidRDefault="00DD1016" w:rsidP="00714222">
      <w:pPr>
        <w:numPr>
          <w:ilvl w:val="0"/>
          <w:numId w:val="311"/>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Massiver Schmerzausstrahlung im gesamten Kopfbereich</w:t>
      </w:r>
    </w:p>
    <w:p w14:paraId="43065DC9" w14:textId="77777777" w:rsidR="00DD1016" w:rsidRPr="00DD1016" w:rsidRDefault="00DD1016" w:rsidP="00DD1016">
      <w:p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b/>
          <w:bCs/>
          <w:lang w:eastAsia="de-DE"/>
        </w:rPr>
        <w:t>Druckverteilung:</w:t>
      </w:r>
      <w:r w:rsidRPr="00DD1016">
        <w:rPr>
          <w:rFonts w:ascii="Times New Roman" w:eastAsia="Times New Roman" w:hAnsi="Times New Roman"/>
          <w:lang w:eastAsia="de-DE"/>
        </w:rPr>
        <w:t xml:space="preserve"> Das Gewicht der Dornenkrone (~400-500g) erzeugte bei Bewegung dynamische Lasten:</w:t>
      </w:r>
    </w:p>
    <w:p w14:paraId="065B669F" w14:textId="77777777" w:rsidR="00DD1016" w:rsidRPr="00DD1016" w:rsidRDefault="00DD1016" w:rsidP="00714222">
      <w:pPr>
        <w:numPr>
          <w:ilvl w:val="0"/>
          <w:numId w:val="312"/>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lastRenderedPageBreak/>
        <w:t>Statischer Druck: ~0,2 N/cm²</w:t>
      </w:r>
    </w:p>
    <w:p w14:paraId="1579F25A" w14:textId="77777777" w:rsidR="00DD1016" w:rsidRPr="00DD1016" w:rsidRDefault="00DD1016" w:rsidP="00714222">
      <w:pPr>
        <w:numPr>
          <w:ilvl w:val="0"/>
          <w:numId w:val="312"/>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Dynamische Spitzenlasten: bis zu 2-3 N/cm²</w:t>
      </w:r>
    </w:p>
    <w:p w14:paraId="7951ACEE" w14:textId="77777777" w:rsidR="00DD1016" w:rsidRPr="00DD1016" w:rsidRDefault="00DD1016" w:rsidP="00714222">
      <w:pPr>
        <w:numPr>
          <w:ilvl w:val="0"/>
          <w:numId w:val="312"/>
        </w:num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Punktuelle Druckspitzen an Dornen: &gt;100 N/cm²</w:t>
      </w:r>
    </w:p>
    <w:p w14:paraId="21DE0509" w14:textId="77777777" w:rsidR="00DD1016" w:rsidRPr="00DD1016" w:rsidRDefault="00DD1016" w:rsidP="00DD1016">
      <w:p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Diese biomechanische Analyse zeigt, dass die Dornenkrone nicht nur ein Instrument der Verspottung, sondern auch gezielter physischer Folter war. Die Kombination aus scharfen Dornen, Gewicht und Bewegung führte zu einer kontinuierlichen Traumatisierung des neuronal hochsensiblen Kopfbereichs. Die permanente Aktivierung des Trigeminusnervs erzeugte dabei ein besonders intensives und ausgedehntes Schmerzerleben, das sich mit den anderen Verletzungen zu einer extremen Belastung des Organismus addierte.</w:t>
      </w:r>
    </w:p>
    <w:p w14:paraId="12E1C4DC" w14:textId="77777777" w:rsidR="00DD1016" w:rsidRPr="00DD1016" w:rsidRDefault="00DD1016" w:rsidP="00DD1016">
      <w:pPr>
        <w:spacing w:before="100" w:beforeAutospacing="1" w:after="100" w:afterAutospacing="1"/>
        <w:rPr>
          <w:rFonts w:ascii="Times New Roman" w:eastAsia="Times New Roman" w:hAnsi="Times New Roman"/>
          <w:lang w:eastAsia="de-DE"/>
        </w:rPr>
      </w:pPr>
      <w:r w:rsidRPr="00DD1016">
        <w:rPr>
          <w:rFonts w:ascii="Times New Roman" w:eastAsia="Times New Roman" w:hAnsi="Times New Roman"/>
          <w:lang w:eastAsia="de-DE"/>
        </w:rPr>
        <w:t>Die Verletzungen durch die Dornenkrone wären auch nach einer möglichen Abnahme vor der Kreuzigung durch die massive Gewebeschädigung und Nervenreizung weiter schmerzhaft geblieben und hätten zur Gesamterschöpfung beigetragen.</w:t>
      </w:r>
    </w:p>
    <w:p w14:paraId="6D8FD0F0" w14:textId="77777777" w:rsidR="00141719" w:rsidRPr="00141719" w:rsidRDefault="00141719" w:rsidP="005242F7">
      <w:pPr>
        <w:pStyle w:val="berschrift2"/>
        <w:rPr>
          <w:rFonts w:eastAsia="Times New Roman"/>
          <w:lang w:eastAsia="de-DE"/>
        </w:rPr>
      </w:pPr>
      <w:r w:rsidRPr="00141719">
        <w:rPr>
          <w:rFonts w:eastAsia="Times New Roman"/>
          <w:lang w:eastAsia="de-DE"/>
        </w:rPr>
        <w:t>4.2 Biomechanische Belastungen</w:t>
      </w:r>
      <w:r w:rsidR="00DD1016">
        <w:rPr>
          <w:rFonts w:eastAsia="Times New Roman"/>
          <w:lang w:eastAsia="de-DE"/>
        </w:rPr>
        <w:t xml:space="preserve"> während der Kreuzigung</w:t>
      </w:r>
    </w:p>
    <w:p w14:paraId="1E9E9DFE" w14:textId="77777777" w:rsidR="00141719" w:rsidRPr="00464BF9" w:rsidRDefault="00141719" w:rsidP="005242F7">
      <w:pPr>
        <w:pStyle w:val="berschrift3"/>
        <w:rPr>
          <w:rFonts w:eastAsia="Times New Roman"/>
          <w:lang w:eastAsia="de-DE"/>
        </w:rPr>
      </w:pPr>
      <w:r w:rsidRPr="00141719">
        <w:rPr>
          <w:rFonts w:eastAsia="Times New Roman"/>
          <w:lang w:eastAsia="de-DE"/>
        </w:rPr>
        <w:t>4.2.1 Statische Kräfte</w:t>
      </w:r>
    </w:p>
    <w:p w14:paraId="383094D9" w14:textId="77777777" w:rsidR="00686E29" w:rsidRPr="00464BF9" w:rsidRDefault="00686E29" w:rsidP="001B6D02">
      <w:pPr>
        <w:numPr>
          <w:ilvl w:val="0"/>
          <w:numId w:val="6"/>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Körpergewicht: 70 kg (Mittelwert des Bereichs 65-75 kg)</w:t>
      </w:r>
    </w:p>
    <w:p w14:paraId="716C7A84" w14:textId="77777777" w:rsidR="00E019DE" w:rsidRPr="00464BF9" w:rsidRDefault="00686E29" w:rsidP="001B6D02">
      <w:pPr>
        <w:numPr>
          <w:ilvl w:val="0"/>
          <w:numId w:val="6"/>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 xml:space="preserve">Zugkräfte an Handgelenken: ~110 kg pro Seite (basierend auf Trigonometrie bei 60° Armwinkel) </w:t>
      </w:r>
    </w:p>
    <w:p w14:paraId="41F0B6AB" w14:textId="77777777" w:rsidR="00CF5C93" w:rsidRDefault="00686E29" w:rsidP="001B6D02">
      <w:pPr>
        <w:numPr>
          <w:ilvl w:val="0"/>
          <w:numId w:val="6"/>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 xml:space="preserve">Scherkräfte an Nägeln: ~85 N </w:t>
      </w:r>
    </w:p>
    <w:p w14:paraId="2E8725DD" w14:textId="77777777" w:rsidR="00686E29" w:rsidRPr="00CF5C93" w:rsidRDefault="00686E29" w:rsidP="001B6D02">
      <w:pPr>
        <w:numPr>
          <w:ilvl w:val="0"/>
          <w:numId w:val="6"/>
        </w:numPr>
        <w:spacing w:before="100" w:beforeAutospacing="1" w:after="100" w:afterAutospacing="1"/>
        <w:rPr>
          <w:rFonts w:ascii="Times New Roman" w:eastAsia="Times New Roman" w:hAnsi="Times New Roman"/>
          <w:lang w:eastAsia="de-DE"/>
        </w:rPr>
      </w:pPr>
      <w:r w:rsidRPr="00CF5C93">
        <w:rPr>
          <w:rFonts w:eastAsia="Times New Roman"/>
          <w:lang w:eastAsia="de-DE"/>
        </w:rPr>
        <w:t>Druckkräfte an Füßen: ~130 kg (inkl. Dynamischer Belastung)</w:t>
      </w:r>
    </w:p>
    <w:p w14:paraId="0FCC445D" w14:textId="77777777" w:rsidR="00141719" w:rsidRPr="00141719" w:rsidRDefault="00141719" w:rsidP="005242F7">
      <w:pPr>
        <w:pStyle w:val="berschrift3"/>
        <w:rPr>
          <w:rFonts w:eastAsia="Times New Roman"/>
          <w:lang w:eastAsia="de-DE"/>
        </w:rPr>
      </w:pPr>
      <w:r w:rsidRPr="00141719">
        <w:rPr>
          <w:rFonts w:eastAsia="Times New Roman"/>
          <w:lang w:eastAsia="de-DE"/>
        </w:rPr>
        <w:t>4.2.2 Dynamische Belastungen</w:t>
      </w:r>
    </w:p>
    <w:p w14:paraId="5473FD21" w14:textId="77777777" w:rsidR="00141719" w:rsidRPr="00141719" w:rsidRDefault="00141719" w:rsidP="001B6D02">
      <w:pPr>
        <w:numPr>
          <w:ilvl w:val="0"/>
          <w:numId w:val="6"/>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Muskelkontraktionen beim Aufrichten</w:t>
      </w:r>
    </w:p>
    <w:p w14:paraId="5FCF93A2" w14:textId="77777777" w:rsidR="00141719" w:rsidRPr="00141719" w:rsidRDefault="00141719" w:rsidP="001B6D02">
      <w:pPr>
        <w:numPr>
          <w:ilvl w:val="0"/>
          <w:numId w:val="6"/>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Atemhilfsmuskulatur unter Dauerspannung</w:t>
      </w:r>
    </w:p>
    <w:p w14:paraId="217617B8" w14:textId="77777777" w:rsidR="00141719" w:rsidRPr="00141719" w:rsidRDefault="00141719" w:rsidP="001B6D02">
      <w:pPr>
        <w:numPr>
          <w:ilvl w:val="0"/>
          <w:numId w:val="6"/>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lastRenderedPageBreak/>
        <w:t>Isometrische Belastung der Armmuskulatur</w:t>
      </w:r>
    </w:p>
    <w:p w14:paraId="2D6167F1" w14:textId="77777777" w:rsidR="00141719" w:rsidRDefault="00141719" w:rsidP="001B6D02">
      <w:pPr>
        <w:numPr>
          <w:ilvl w:val="0"/>
          <w:numId w:val="6"/>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Thorakale Kompression</w:t>
      </w:r>
    </w:p>
    <w:p w14:paraId="5771257F" w14:textId="77777777" w:rsidR="00B713CA" w:rsidRDefault="00B713CA" w:rsidP="00756650">
      <w:pPr>
        <w:pStyle w:val="whitespace-pre-wrap"/>
      </w:pPr>
      <w:r>
        <w:t>Die Kreuzigung war nicht nur ein Instrument der Folter, sondern eine grausame Demonstration menschlicher Physiologie unter Extrembedingungen. Jede Muskelgruppe wurde zu einem Schauplatz unbeschreiblichen Leidens, wobei die Muskelkontraktionen und Belastungen ein komplexes Zusammenspiel von Schmerz, Erschöpfung und Überlebenskampf darstellten.</w:t>
      </w:r>
    </w:p>
    <w:p w14:paraId="0A54D6D8" w14:textId="77777777" w:rsidR="00B713CA" w:rsidRDefault="00B713CA" w:rsidP="00756650">
      <w:pPr>
        <w:pStyle w:val="whitespace-pre-wrap"/>
      </w:pPr>
      <w:r>
        <w:t>Beim Aufrichten des Körpers am Kreuz begannen die ersten dramatischen Muskelreaktionen. Die Skelettmuskulatur, normalerweise ein präzises Instrument kontrollierten Bewegens, wurde zur Überlebensmaschine. Isometrische Kontraktionen – Muskelspannungen ohne Bewegung – zwangen die Muskelgruppen in einen Dauerkrampf. Insbesondere die Armmuskulatur, durch die Nagelung in unnatürlicher Position fixiert, geriet in einen Zustand permanenter Anspannung.</w:t>
      </w:r>
    </w:p>
    <w:p w14:paraId="4F437C5B" w14:textId="77777777" w:rsidR="00B713CA" w:rsidRDefault="00B713CA" w:rsidP="00756650">
      <w:pPr>
        <w:pStyle w:val="whitespace-pre-wrap"/>
      </w:pPr>
      <w:r>
        <w:t>Die Atemhilfsmuskulatur, normalerweise ein rhythmisch arbeitendes System, wurde zur Überlebenseinheit unter Dauerstress. Zwischen den Rippen und im Zwerchfellbereich entstanden Spannungszustände, die jeden Atemzug zu einem Akt höchster Konzentration und Willenskraft machten. Jede Inspiration wurde zu einem Kampf gegen die Schwerkraft, gegen die gekreuzigte Körperhaltung.</w:t>
      </w:r>
    </w:p>
    <w:p w14:paraId="17A835D0" w14:textId="77777777" w:rsidR="00B713CA" w:rsidRDefault="00B713CA" w:rsidP="00756650">
      <w:pPr>
        <w:pStyle w:val="whitespace-pre-wrap"/>
      </w:pPr>
      <w:r>
        <w:t>Die thorakale Kompression entwickelte eine eigene physiologische Dramaturgie. Der Brustkorb, eingezwängt in eine Position totaler Atembehinderung, transformierte sich in ein Gefängnis der Atmung. Zwischen Einatmen und Kollabieren pendelnd, wurde jede Muskelgruppe zum Überlebenskämpfer. Die Zwischenrippenmuskulatur und die Trapezmuskulatur leisteten einen nahezu unmenschlichen Widerstand gegen die Schwerkraft.</w:t>
      </w:r>
    </w:p>
    <w:p w14:paraId="687E2CA0" w14:textId="77777777" w:rsidR="00B713CA" w:rsidRDefault="00B713CA" w:rsidP="00756650">
      <w:pPr>
        <w:pStyle w:val="whitespace-pre-wrap"/>
      </w:pPr>
      <w:r>
        <w:lastRenderedPageBreak/>
        <w:t>Medizinisch betrachtet ist dieser Zustand ein Lehrstück über menschliche Belastungsgrenzen. Die Muskelgruppen durchliefen verschiedene Phasen: Zunächst extreme Anspannung, dann zunehmende Ermüdung, schließlich partielle Lähmung. Jeder Muskel wurde zum Übersetzer eines universellen Leidens, jede Kontraktion zum Ausdruck menschlicher Widerstandsfähigkeit.</w:t>
      </w:r>
    </w:p>
    <w:p w14:paraId="4CA9AA7E" w14:textId="77777777" w:rsidR="00B713CA" w:rsidRDefault="00B713CA" w:rsidP="00756650">
      <w:pPr>
        <w:pStyle w:val="whitespace-pre-wrap"/>
      </w:pPr>
      <w:r>
        <w:t>Die biomechanischen Belastungen waren keine abstrakten physiologischen Prozesse, sondern konkrete Kämpfe um jede Sekunde Überleben. Muskeln, die normalerweise Bewegung und Kraft bedeuten, wurden zu Gefängnissen des Körpers. Die Armmuskulatur, durch Nägel fixiert, die Brustmuskulatur, komprimiert durch die Körperhaltung, die Atemhilfsmuskulatur, gezwungen zu einer Arbeit jenseits ihrer Kapazitäten.</w:t>
      </w:r>
    </w:p>
    <w:p w14:paraId="5DB92D59" w14:textId="77777777" w:rsidR="00B713CA" w:rsidRDefault="00B713CA" w:rsidP="00756650">
      <w:pPr>
        <w:pStyle w:val="whitespace-pre-wrap"/>
      </w:pPr>
      <w:r>
        <w:t xml:space="preserve">Ein komplexes Zusammenspiel von Nerven, Muskeln und Kräften entstand – ein Kampf, der weit über die physische Dimension hinausging. </w:t>
      </w:r>
    </w:p>
    <w:p w14:paraId="155CA798" w14:textId="77777777" w:rsidR="00141719" w:rsidRPr="00141719" w:rsidRDefault="00141719" w:rsidP="005242F7">
      <w:pPr>
        <w:pStyle w:val="berschrift2"/>
        <w:rPr>
          <w:rFonts w:eastAsia="Times New Roman"/>
          <w:lang w:eastAsia="de-DE"/>
        </w:rPr>
      </w:pPr>
      <w:r w:rsidRPr="00141719">
        <w:rPr>
          <w:rFonts w:eastAsia="Times New Roman"/>
          <w:lang w:eastAsia="de-DE"/>
        </w:rPr>
        <w:t>4.3 Physiologische Prozesse</w:t>
      </w:r>
    </w:p>
    <w:p w14:paraId="0D472F9C" w14:textId="77777777" w:rsidR="00141719" w:rsidRPr="00141719" w:rsidRDefault="00141719" w:rsidP="005242F7">
      <w:pPr>
        <w:pStyle w:val="berschrift3"/>
        <w:rPr>
          <w:rFonts w:eastAsia="Times New Roman"/>
          <w:lang w:eastAsia="de-DE"/>
        </w:rPr>
      </w:pPr>
      <w:r w:rsidRPr="00141719">
        <w:rPr>
          <w:rFonts w:eastAsia="Times New Roman"/>
          <w:lang w:eastAsia="de-DE"/>
        </w:rPr>
        <w:t>4.3.1 Atmung und Kreislauf</w:t>
      </w:r>
    </w:p>
    <w:p w14:paraId="23C1BABE" w14:textId="77777777" w:rsidR="00141719" w:rsidRPr="00141719" w:rsidRDefault="00141719" w:rsidP="001B6D02">
      <w:pPr>
        <w:numPr>
          <w:ilvl w:val="0"/>
          <w:numId w:val="7"/>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Lungenvolumen reduziert auf ~33%</w:t>
      </w:r>
    </w:p>
    <w:p w14:paraId="6AD1A228" w14:textId="77777777" w:rsidR="00141719" w:rsidRPr="00141719" w:rsidRDefault="00141719" w:rsidP="001B6D02">
      <w:pPr>
        <w:numPr>
          <w:ilvl w:val="0"/>
          <w:numId w:val="7"/>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Atemwiderstand erhöht durch Körperposition</w:t>
      </w:r>
    </w:p>
    <w:p w14:paraId="74BC8619" w14:textId="77777777" w:rsidR="00141719" w:rsidRPr="00141719" w:rsidRDefault="00141719" w:rsidP="001B6D02">
      <w:pPr>
        <w:numPr>
          <w:ilvl w:val="0"/>
          <w:numId w:val="7"/>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O2-Sättigung sinkend von 98% auf &lt;70%</w:t>
      </w:r>
    </w:p>
    <w:p w14:paraId="5690677E" w14:textId="77777777" w:rsidR="00141719" w:rsidRPr="00141719" w:rsidRDefault="00141719" w:rsidP="001B6D02">
      <w:pPr>
        <w:numPr>
          <w:ilvl w:val="0"/>
          <w:numId w:val="7"/>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Herzfrequenz: 120-140/min</w:t>
      </w:r>
    </w:p>
    <w:p w14:paraId="36BC95F5" w14:textId="77777777" w:rsidR="00141719" w:rsidRDefault="00141719" w:rsidP="001B6D02">
      <w:pPr>
        <w:numPr>
          <w:ilvl w:val="0"/>
          <w:numId w:val="7"/>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Blutdruck systolisch: 60-100 mmHg</w:t>
      </w:r>
    </w:p>
    <w:p w14:paraId="492D6765" w14:textId="77777777" w:rsidR="00B713CA" w:rsidRDefault="00B713CA" w:rsidP="00756650">
      <w:pPr>
        <w:pStyle w:val="whitespace-pre-wrap"/>
      </w:pPr>
      <w:r>
        <w:t>Die Kreuzigung war ein physiologisches Extremexperiment, in dem der menschliche Körper an die äußersten Grenzen seiner Überlebensfähigkeit getrieben wurde. Die Atmung, normalerweise ein autonomer, kaum bemerkter Prozess, wurde zum Schauplatz eines dramatischen Überlebenskampfes.</w:t>
      </w:r>
    </w:p>
    <w:p w14:paraId="1D3CFA1E" w14:textId="77777777" w:rsidR="00B713CA" w:rsidRDefault="00B713CA" w:rsidP="00756650">
      <w:pPr>
        <w:pStyle w:val="whitespace-pre-wrap"/>
      </w:pPr>
      <w:r>
        <w:lastRenderedPageBreak/>
        <w:t>Das Lungenvolumen, üblicherweise ein Garant für effiziente Sauerstoffaufnahme, reduzierte sich auf gerade einmal ein Drittel seiner</w:t>
      </w:r>
      <w:r w:rsidR="005739DC">
        <w:t xml:space="preserve"> </w:t>
      </w:r>
      <w:r>
        <w:t>normalen Kapazität. Diese drastische Einschränkung war keine abstrakte medizinische Statistik, sondern eine konkrete Todeszone der Physiologie. Jeder Atemzug wurde zu einem Kampf gegen die Schwerkraft, gegen die unnatürliche Körperhaltung am Kreuz.</w:t>
      </w:r>
    </w:p>
    <w:p w14:paraId="3442D958" w14:textId="77777777" w:rsidR="00B713CA" w:rsidRDefault="00B713CA" w:rsidP="00756650">
      <w:pPr>
        <w:pStyle w:val="whitespace-pre-wrap"/>
      </w:pPr>
      <w:r>
        <w:t>Die Körperposition selbst wurde zum Widerstand. Der Atemwiderstand erhöhte sich exponentiell, jede Inspiration wurde zu einem Akt höchster Willenskraft. Die Zwischenrippenmuskulatur und das Zwerchfell kämpften gegen eine Mechanik, die das Atmen systematisch behinderte. Es war, als würde der Körper gegen seine eigene Konstruktion rebellieren.</w:t>
      </w:r>
    </w:p>
    <w:p w14:paraId="24E6A97B" w14:textId="77777777" w:rsidR="00B713CA" w:rsidRDefault="00B713CA" w:rsidP="00756650">
      <w:pPr>
        <w:pStyle w:val="whitespace-pre-wrap"/>
      </w:pPr>
      <w:r>
        <w:t>Die Sauerstoffsättigung im Blut – normalerweise ein stabiler Wert um 98% – stürzte rapide ab. Unter 70% Sättigung beginnt ein Zustand, den die Medizin als kritisch bezeichnet. Aber diese Zahl war mehr als eine Messgröße: Sie war der quantifizierte Ausdruck eines Todeskampfes, in dem jede Zelle um Überleben rang.</w:t>
      </w:r>
    </w:p>
    <w:p w14:paraId="60636421" w14:textId="77777777" w:rsidR="00B713CA" w:rsidRDefault="00B713CA" w:rsidP="00756650">
      <w:pPr>
        <w:pStyle w:val="whitespace-pre-wrap"/>
      </w:pPr>
      <w:r>
        <w:t>Die Herzfrequenz eskalierte auf 120 bis 140 Schläge pro Minute – ein Takt, der weit über dem normalen Ruhepuls liegt. Das Herz hämmerte nicht mehr, es trommelte eine Todesmelodie, eine physiologische Symphonie der Erschöpfung. Jeder Schlag war ein verzweifelter Versuch des Organismus, trotz minimaler Sauerstoffversorgung zu funktionieren.</w:t>
      </w:r>
    </w:p>
    <w:p w14:paraId="2E6D473D" w14:textId="77777777" w:rsidR="00B713CA" w:rsidRDefault="00B713CA" w:rsidP="00756650">
      <w:pPr>
        <w:pStyle w:val="whitespace-pre-wrap"/>
      </w:pPr>
      <w:r>
        <w:t>Der systolische Blutdruck fiel auf 60 bis 100 mmHg – Werte, die einen Schockzustand markieren. Das Herz-Kreislauf-System, sonst ein präzises Regulationssystem, degenerierte zu einem instabilen Überlebensapparat. Blutgefäße verengten sich, um lebenswichtige Organe zu schützen, während periphere Bereiche in einen Zustand minimaler Durchblutung übergingen.</w:t>
      </w:r>
    </w:p>
    <w:p w14:paraId="0D54165F" w14:textId="77777777" w:rsidR="00B713CA" w:rsidRDefault="00B713CA" w:rsidP="00756650">
      <w:pPr>
        <w:pStyle w:val="whitespace-pre-wrap"/>
      </w:pPr>
      <w:r>
        <w:lastRenderedPageBreak/>
        <w:t>Diese physiologischen Parameter waren mehr als medizinische Messgrößen. Sie waren die Sprache des Körpers in extremis, ein biochemischer Schrei, der die Grenzen menschlicher Widerstandsfähigkeit auslotete. Jede Zahl repräsentierte einen Moment des Ringens zwischen Leben und Tod.</w:t>
      </w:r>
    </w:p>
    <w:p w14:paraId="4D99CE56" w14:textId="77777777" w:rsidR="00B713CA" w:rsidRDefault="00B713CA" w:rsidP="00756650">
      <w:pPr>
        <w:pStyle w:val="whitespace-pre-wrap"/>
      </w:pPr>
      <w:r>
        <w:t>Die Wissenschaft kann diese Prozesse messen, beschreiben, analysieren. Aber das eigentliche Drama liegt jenseits physiologischer Messbarkeit – im Bereich menschlichen Leidens, menschlicher Grenzüberschreitung.</w:t>
      </w:r>
    </w:p>
    <w:p w14:paraId="2FCAA6F1" w14:textId="77777777" w:rsidR="00141719" w:rsidRPr="00141719" w:rsidRDefault="00141719" w:rsidP="005242F7">
      <w:pPr>
        <w:pStyle w:val="berschrift3"/>
        <w:rPr>
          <w:rFonts w:eastAsia="Times New Roman"/>
          <w:lang w:eastAsia="de-DE"/>
        </w:rPr>
      </w:pPr>
      <w:r w:rsidRPr="00141719">
        <w:rPr>
          <w:rFonts w:eastAsia="Times New Roman"/>
          <w:lang w:eastAsia="de-DE"/>
        </w:rPr>
        <w:t>4.3.2 Metabolische Veränderungen</w:t>
      </w:r>
    </w:p>
    <w:p w14:paraId="4B73DD1F" w14:textId="77777777" w:rsidR="00141719" w:rsidRPr="00141719" w:rsidRDefault="00141719" w:rsidP="005242F7">
      <w:p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Blutverlust und Schockzustand:</w:t>
      </w:r>
      <w:r w:rsidRPr="00141719">
        <w:rPr>
          <w:rFonts w:ascii="Times New Roman" w:eastAsia="Times New Roman" w:hAnsi="Times New Roman"/>
          <w:lang w:eastAsia="de-DE"/>
        </w:rPr>
        <w:t xml:space="preserve"> </w:t>
      </w:r>
    </w:p>
    <w:p w14:paraId="3A716146" w14:textId="77777777" w:rsidR="00141719" w:rsidRPr="00141719" w:rsidRDefault="00141719" w:rsidP="001B6D02">
      <w:pPr>
        <w:numPr>
          <w:ilvl w:val="1"/>
          <w:numId w:val="8"/>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Hypovolämie durch Blutverlust</w:t>
      </w:r>
    </w:p>
    <w:p w14:paraId="75A64374" w14:textId="77777777" w:rsidR="00141719" w:rsidRPr="00141719" w:rsidRDefault="00141719" w:rsidP="001B6D02">
      <w:pPr>
        <w:numPr>
          <w:ilvl w:val="1"/>
          <w:numId w:val="8"/>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Hämatokrit-Änderungen</w:t>
      </w:r>
    </w:p>
    <w:p w14:paraId="2FC407FC" w14:textId="77777777" w:rsidR="00141719" w:rsidRPr="00141719" w:rsidRDefault="00141719" w:rsidP="001B6D02">
      <w:pPr>
        <w:numPr>
          <w:ilvl w:val="1"/>
          <w:numId w:val="8"/>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Kreislaufzentralisation</w:t>
      </w:r>
    </w:p>
    <w:p w14:paraId="5776D3CF" w14:textId="77777777" w:rsidR="00141719" w:rsidRDefault="00141719" w:rsidP="001B6D02">
      <w:pPr>
        <w:numPr>
          <w:ilvl w:val="1"/>
          <w:numId w:val="8"/>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Organminderperfusion</w:t>
      </w:r>
    </w:p>
    <w:p w14:paraId="306E0DF8" w14:textId="77777777" w:rsidR="00B713CA" w:rsidRDefault="00B713CA" w:rsidP="00B713CA">
      <w:pPr>
        <w:pStyle w:val="whitespace-pre-wrap"/>
      </w:pPr>
      <w:r>
        <w:t>Der menschliche Körper reagiert auf massiven Blutverlust mit einer komplexen Kaskade von Überlebensstrategien, die während der Kreuzigung in ihrer ganzen dramatischen Präzision zum Tragen kamen. Die Hypovolämie - der dramatische Volumenverlust an Blut - war mehr als ein medizinischer Prozess; sie war ein physiologisches Schauspiel des Überlebenskampfes.</w:t>
      </w:r>
    </w:p>
    <w:p w14:paraId="75CD9C45" w14:textId="77777777" w:rsidR="00B713CA" w:rsidRDefault="00B713CA" w:rsidP="00B713CA">
      <w:pPr>
        <w:pStyle w:val="whitespace-pre-wrap"/>
      </w:pPr>
      <w:r>
        <w:t>Mit dem Blutverlust begann ein systematischer Reorganisationsprozess des Kreislaufsystems. Der Hämatokrit - das Verhältnis von Blutzellen zum Gesamtblutvolumen - veränderte sich rapide. Während normalerweise 42-52% der Blutflüssigkeit aus Zellen bestehen, verschob sich dieser Wert nun dramatisch. Das verbliebene Blut wurde zunehmend eingedickt, die Viskosität stieg an, und jede Blutkomponente wurde zum kostbaren Überlebensträger.</w:t>
      </w:r>
    </w:p>
    <w:p w14:paraId="7662F79E" w14:textId="77777777" w:rsidR="00B713CA" w:rsidRDefault="00B713CA" w:rsidP="00B713CA">
      <w:pPr>
        <w:pStyle w:val="whitespace-pre-wrap"/>
      </w:pPr>
      <w:r>
        <w:lastRenderedPageBreak/>
        <w:t>Die Kreislaufzentralisation, ein biomechanischer Notfallmechanismus, setzte ein. Lebenswichtige Organe wie Gehirn, Herz und Nieren wurden priorisiert, während periphere Körperregionen in eine Mangelversorgung übergingen. Kleine Blutgefäße in Hautbereichen und Extremitäten zogen sich zusammen, um den zentralen Kreislauf zu schützen. Es war, als würde der Körper einen strategischen Rückzug antreten, um seine wichtigsten Funktionen zu sichern.</w:t>
      </w:r>
    </w:p>
    <w:p w14:paraId="06430961" w14:textId="77777777" w:rsidR="00B713CA" w:rsidRDefault="00B713CA" w:rsidP="00B713CA">
      <w:pPr>
        <w:pStyle w:val="whitespace-pre-wrap"/>
      </w:pPr>
      <w:r>
        <w:t>Die Organminderperfusion wurde zum kritischen Faktor. Gewebe, die normalerweise kontinuierlich mit Sauerstoff und Nährstoffen versorgt werden, gerieten in einen Zustand minimaler Durchblutung. Muskelgruppen, Bindegewebe, Hautschichten - sie alle wurden zu Opfern dieser physiologischen Überlebensstrategie. Jedes Organ kämpfte um seine Grundversorgung, während der Gesamtorganismus in einen Schockzustand überging.</w:t>
      </w:r>
    </w:p>
    <w:p w14:paraId="3660D5DC" w14:textId="77777777" w:rsidR="00B713CA" w:rsidRDefault="00B713CA" w:rsidP="00B713CA">
      <w:pPr>
        <w:pStyle w:val="whitespace-pre-wrap"/>
      </w:pPr>
      <w:r>
        <w:t>Dieser Schockzustand war keine passive Erscheinung, sondern ein aktiver Überlebenskampf. Hormone wie Adrenalin und Cortisol wurden ausgeschüttet, um die Durchblutung zu stabilisieren. Das sympathische Nervensystem fuhr sämtliche Notfallprogramme hoch - eine biochemische Kriegserklärung gegen den drohenden Systemzusammenbruch.</w:t>
      </w:r>
    </w:p>
    <w:p w14:paraId="62357576" w14:textId="77777777" w:rsidR="00B713CA" w:rsidRDefault="00B713CA" w:rsidP="00B713CA">
      <w:pPr>
        <w:pStyle w:val="whitespace-pre-wrap"/>
      </w:pPr>
      <w:r>
        <w:t>Medizinisch betrachtet war dieser Prozess eine Abfolge präziser Gegenregulationen. Blutplättchen verdichteten sich, Gerinnungsfaktoren wurden aktiviert, Blutgefäße verengten sich. Der Körper mobilisierte alle Ressourcen, um den Blutverlust zu kompensieren.</w:t>
      </w:r>
    </w:p>
    <w:p w14:paraId="6EC4B272" w14:textId="77777777" w:rsidR="00B713CA" w:rsidRDefault="465B05CD" w:rsidP="00B713CA">
      <w:pPr>
        <w:pStyle w:val="whitespace-pre-wrap"/>
      </w:pPr>
      <w:r>
        <w:t>Die Kreuzigung wurde so zum ultimativen Experiment menschlicher Widerstandsfähigkeit. Jede Blutkomponente, jedes Gefäß, jede Hormonkaskade kämpfte gegen den unausweichlichen physiologischen Zusammenbruch.</w:t>
      </w:r>
    </w:p>
    <w:p w14:paraId="3A4D493A" w14:textId="5530D6DD" w:rsidR="465B05CD" w:rsidRDefault="465B05CD" w:rsidP="465B05CD">
      <w:pPr>
        <w:spacing w:beforeAutospacing="1" w:afterAutospacing="1"/>
        <w:rPr>
          <w:rFonts w:ascii="Times New Roman" w:eastAsia="Times New Roman" w:hAnsi="Times New Roman"/>
          <w:b/>
          <w:bCs/>
          <w:lang w:eastAsia="de-DE"/>
        </w:rPr>
      </w:pPr>
    </w:p>
    <w:p w14:paraId="62327795" w14:textId="77777777" w:rsidR="00141719" w:rsidRPr="00141719" w:rsidRDefault="00141719" w:rsidP="005242F7">
      <w:p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Stoffwechselentgleisung:</w:t>
      </w:r>
      <w:r w:rsidRPr="00141719">
        <w:rPr>
          <w:rFonts w:ascii="Times New Roman" w:eastAsia="Times New Roman" w:hAnsi="Times New Roman"/>
          <w:lang w:eastAsia="de-DE"/>
        </w:rPr>
        <w:t xml:space="preserve"> </w:t>
      </w:r>
    </w:p>
    <w:p w14:paraId="09E34159" w14:textId="77777777" w:rsidR="00141719" w:rsidRPr="00141719" w:rsidRDefault="00141719" w:rsidP="001B6D02">
      <w:pPr>
        <w:numPr>
          <w:ilvl w:val="1"/>
          <w:numId w:val="8"/>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Metabolische Azidose</w:t>
      </w:r>
    </w:p>
    <w:p w14:paraId="278CAC36" w14:textId="77777777" w:rsidR="00141719" w:rsidRPr="00141719" w:rsidRDefault="00141719" w:rsidP="001B6D02">
      <w:pPr>
        <w:numPr>
          <w:ilvl w:val="1"/>
          <w:numId w:val="8"/>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Elektrolytstörungen</w:t>
      </w:r>
    </w:p>
    <w:p w14:paraId="77244B1A" w14:textId="77777777" w:rsidR="00141719" w:rsidRPr="00141719" w:rsidRDefault="00141719" w:rsidP="001B6D02">
      <w:pPr>
        <w:numPr>
          <w:ilvl w:val="1"/>
          <w:numId w:val="8"/>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Laktatanstieg</w:t>
      </w:r>
    </w:p>
    <w:p w14:paraId="45C0B123" w14:textId="77777777" w:rsidR="0079395B" w:rsidRDefault="00141719" w:rsidP="001B6D02">
      <w:pPr>
        <w:numPr>
          <w:ilvl w:val="1"/>
          <w:numId w:val="8"/>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Dehydration</w:t>
      </w:r>
    </w:p>
    <w:p w14:paraId="4BA548BB" w14:textId="77777777" w:rsidR="0079395B" w:rsidRDefault="0079395B" w:rsidP="0079395B">
      <w:pPr>
        <w:pStyle w:val="whitespace-pre-wrap"/>
      </w:pPr>
      <w:r>
        <w:t>Der menschliche Körper durchläuft während extremer Belastungen eine komplexe biochemische Transformation, die während der Kreuzigung ihre ultimative Prüfung erfuhr. Die metabolische Entgleisung war mehr als ein physiologischer Prozess - sie war ein biochemischer Überlebenskampf auf zellulärer Ebene.</w:t>
      </w:r>
    </w:p>
    <w:p w14:paraId="6E2D14DB" w14:textId="77777777" w:rsidR="0079395B" w:rsidRDefault="0079395B" w:rsidP="0079395B">
      <w:pPr>
        <w:pStyle w:val="whitespace-pre-wrap"/>
      </w:pPr>
      <w:r>
        <w:t>Die metabolische Azidose setzte einen molekularen Zersetzungsprozess in Gang. Der pH-Wert des Blutes verschob sich dramatisch in den sauren Bereich, wodurch fundamentale Zellfunktionen gestört wurden. Jede Zelle wurde zu einem Mikroskosmos des Leidens, in dem die Säure-Basen-Balance zunehmend kollabierte. Es war, als würde ein chemisches Gleichgewicht nach dem anderen zusammenbrechen.</w:t>
      </w:r>
    </w:p>
    <w:p w14:paraId="2572543A" w14:textId="77777777" w:rsidR="0079395B" w:rsidRDefault="0079395B" w:rsidP="0079395B">
      <w:pPr>
        <w:pStyle w:val="whitespace-pre-wrap"/>
      </w:pPr>
      <w:r>
        <w:t>Elektrolytstörungen begleiteten diesen Prozess wie eine subtile biochemische Symphonie des Verfalls. Kalium-, Natrium- und Calciumspiegel gerieten aus ihrer präzisen Balance. Muskelzellen, Nervensystem, Herz - alle wurden von diesen Verschiebungen betroffen. Die feine Kommunikation zwischen Zellen geriet in einen Zustand maximaler Störung.</w:t>
      </w:r>
    </w:p>
    <w:p w14:paraId="7292F2E6" w14:textId="77777777" w:rsidR="0079395B" w:rsidRDefault="0079395B" w:rsidP="0079395B">
      <w:pPr>
        <w:pStyle w:val="whitespace-pre-wrap"/>
      </w:pPr>
      <w:r>
        <w:t xml:space="preserve">Der Laktatanstieg markierte den Punkt biochemischer Erschöpfung. Normalerweise ein Nebenprodukt intensiver Muskelarbeit, stieg Laktat nun exponentiell an. Die Zellen wechselten von aerober zu anaerober Energiegewinnung - ein Notfallprogramm mit </w:t>
      </w:r>
      <w:r>
        <w:lastRenderedPageBreak/>
        <w:t>verheerenden Konsequenzen. Jede Muskelgruppe wurde zum Schlachtfeld dieses metabolischen Krieges.</w:t>
      </w:r>
    </w:p>
    <w:p w14:paraId="4C5CF8B8" w14:textId="77777777" w:rsidR="0079395B" w:rsidRDefault="0079395B" w:rsidP="0079395B">
      <w:pPr>
        <w:pStyle w:val="whitespace-pre-wrap"/>
      </w:pPr>
      <w:r>
        <w:t>Die Dehydration verstärkte diese Krise. Wasserverlust reduzierte das Blutvolumen, konzentrierte Stoffwechselprodukte und beschleunigte den Zusammenbruch zellulärer Funktionen. Der Körper verlor nicht nur Flüssigkeit, sondern seine fundamentale biochemische Integrität.</w:t>
      </w:r>
    </w:p>
    <w:p w14:paraId="63C49DAF" w14:textId="5385B624" w:rsidR="00285A82" w:rsidRPr="005242F7" w:rsidRDefault="46F4DC96" w:rsidP="46F4DC96">
      <w:pPr>
        <w:pStyle w:val="berschrift2"/>
        <w:rPr>
          <w:rFonts w:ascii="Times New Roman" w:eastAsia="Times New Roman" w:hAnsi="Times New Roman"/>
          <w:b w:val="0"/>
          <w:bCs w:val="0"/>
          <w:sz w:val="24"/>
          <w:szCs w:val="24"/>
          <w:lang w:eastAsia="de-DE"/>
        </w:rPr>
      </w:pPr>
      <w:r>
        <w:t>4.4 Überlebenszeit</w:t>
      </w:r>
    </w:p>
    <w:p w14:paraId="08E1F3CE" w14:textId="3986EA3C" w:rsidR="00285A82" w:rsidRPr="005242F7" w:rsidRDefault="00141719" w:rsidP="46F4DC96">
      <w:pPr>
        <w:pStyle w:val="whitespace-pre-wrap"/>
        <w:spacing w:before="0" w:beforeAutospacing="0" w:line="259" w:lineRule="auto"/>
      </w:pPr>
      <w:r>
        <w:br/>
      </w:r>
      <w:r w:rsidR="46F4DC96" w:rsidRPr="46F4DC96">
        <w:rPr>
          <w:rFonts w:asciiTheme="minorHAnsi" w:eastAsiaTheme="minorEastAsia" w:hAnsiTheme="minorHAnsi"/>
        </w:rPr>
        <w:t>Die Überlebenszeit bei einer Kreuzigung variierte stark und wurde durch zahlreiche Faktoren beeinflusst. Die körperliche Verfassung der Person war entscheidend. Muskelkraft war wichtig für die Atemarbeit, während die kardiopulmonale Reserve bestimmte, wie lange der Körper die Belastung kompensieren konnte. Der Body-Mass-Index (BMI) beeinflusste die Belastung der Fixierungspunkte, und die Ausdauer der Atemhilfsmuskulatur spielte eine große Rolle.</w:t>
      </w:r>
    </w:p>
    <w:p w14:paraId="33947C26" w14:textId="77777777" w:rsidR="00285A82" w:rsidRDefault="00285A82" w:rsidP="00285A82">
      <w:pPr>
        <w:pStyle w:val="StandardWeb"/>
      </w:pPr>
      <w:r>
        <w:rPr>
          <w:rStyle w:val="Fett"/>
        </w:rPr>
        <w:t>Vorschädigungen</w:t>
      </w:r>
      <w:r>
        <w:t xml:space="preserve"> wie Geißelungen konnten die Überlebenszeit um 30-50% reduzieren. Vorbestehende Erkrankungen beschleunigten das Organversagen, und Dehydration verkürzte die Zeit bis zum Kreislaufversagen. Traumatische Vorschäden verstärkten den Schockzustand.</w:t>
      </w:r>
    </w:p>
    <w:p w14:paraId="2C139BEF" w14:textId="77777777" w:rsidR="00285A82" w:rsidRDefault="00285A82" w:rsidP="00285A82">
      <w:pPr>
        <w:pStyle w:val="StandardWeb"/>
      </w:pPr>
      <w:r>
        <w:rPr>
          <w:rStyle w:val="Fett"/>
        </w:rPr>
        <w:t>Umgebungsbedingungen</w:t>
      </w:r>
      <w:r>
        <w:t xml:space="preserve"> beeinflussten ebenfalls die Überlebenszeit. Hohe Temperaturen erhöhten den Flüssigkeitsverlust, während Wind die Auskühlung und Dehydration verstärkte. Sonneneinstrahlung erhöhte die kardiale Belastung, und Luftfeuchtigkeit beeinflusste die Thermoregulation.</w:t>
      </w:r>
    </w:p>
    <w:p w14:paraId="40CEADFC" w14:textId="77777777" w:rsidR="00285A82" w:rsidRDefault="00285A82" w:rsidP="00285A82">
      <w:pPr>
        <w:pStyle w:val="StandardWeb"/>
      </w:pPr>
      <w:r>
        <w:lastRenderedPageBreak/>
        <w:t xml:space="preserve">Die </w:t>
      </w:r>
      <w:r>
        <w:rPr>
          <w:rStyle w:val="Fett"/>
        </w:rPr>
        <w:t>Positionierung</w:t>
      </w:r>
      <w:r>
        <w:t xml:space="preserve"> am Kreuz war entscheidend. Die Höhe der Fußstütze bestimmte die Atemarbeit, der Armwinkel beeinflusste die Beweglichkeit des Thorax, und die Fixierungspunkte bestimmten die Kraftverteilung. Die Position der Nägel war relevant für Nervenschädigungen.</w:t>
      </w:r>
    </w:p>
    <w:p w14:paraId="3CFEF055" w14:textId="77777777" w:rsidR="00BF2B4E" w:rsidRDefault="00285A82" w:rsidP="00BF2B4E">
      <w:pPr>
        <w:pStyle w:val="StandardWeb"/>
      </w:pPr>
      <w:r>
        <w:rPr>
          <w:rStyle w:val="Fett"/>
        </w:rPr>
        <w:t>Zusätzliche Verletzungen</w:t>
      </w:r>
      <w:r>
        <w:t xml:space="preserve"> wie das </w:t>
      </w:r>
      <w:r>
        <w:rPr>
          <w:rStyle w:val="Fett"/>
        </w:rPr>
        <w:t>Crucifragium</w:t>
      </w:r>
      <w:r>
        <w:t>, bei dem die Beine gebrochen wurden, verkürzten die Überlebenszeit auf wenige Minuten. Thoraxverletzungen beschleunigten das Atemversagen, Gefäßverletzungen führten zu einem schnellen Volumenmangelschock, und Infektionen der Wunden verlängerten das Leiden.</w:t>
      </w:r>
      <w:r w:rsidR="00BF2B4E">
        <w:t xml:space="preserve"> </w:t>
      </w:r>
    </w:p>
    <w:p w14:paraId="0EAD471D" w14:textId="77777777" w:rsidR="00BF2B4E" w:rsidRDefault="00BF2B4E" w:rsidP="00BF2B4E">
      <w:pPr>
        <w:pStyle w:val="StandardWeb"/>
      </w:pPr>
      <w:r>
        <w:t>Das Crucifragium - das gezielte Zerbrechen der Beinröhrenknochen - reduziert die Überlebenszeit dramatisch auf wenige Minuten. Bei einer Krafteinwirkung von ~2500-3000 N brechen Tibia und Fibula, was unmittelbar den Kreislaufkollaps einleitet.</w:t>
      </w:r>
      <w:r w:rsidR="00961ABE">
        <w:t xml:space="preserve"> </w:t>
      </w:r>
    </w:p>
    <w:p w14:paraId="23CB7962" w14:textId="20867506" w:rsidR="00BA2659" w:rsidRDefault="00961ABE" w:rsidP="00BA2659">
      <w:pPr>
        <w:pStyle w:val="StandardWeb"/>
      </w:pPr>
      <w:r>
        <w:t>Dies ergibt folgende vereinfachte S</w:t>
      </w:r>
      <w:r w:rsidR="00BA2659">
        <w:t>kizze:</w:t>
      </w:r>
    </w:p>
    <w:p w14:paraId="37681C9B" w14:textId="04895696" w:rsidR="00961ABE" w:rsidRDefault="00BA2659" w:rsidP="00BF2B4E">
      <w:pPr>
        <w:pStyle w:val="StandardWeb"/>
      </w:pPr>
      <w:r w:rsidRPr="00961ABE">
        <w:rPr>
          <w:noProof/>
        </w:rPr>
        <w:lastRenderedPageBreak/>
        <w:drawing>
          <wp:inline distT="0" distB="0" distL="0" distR="0" wp14:anchorId="7EBD693C" wp14:editId="3EAAC2D0">
            <wp:extent cx="4185974" cy="3681454"/>
            <wp:effectExtent l="0" t="0" r="508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54688" cy="3741886"/>
                    </a:xfrm>
                    <a:prstGeom prst="rect">
                      <a:avLst/>
                    </a:prstGeom>
                  </pic:spPr>
                </pic:pic>
              </a:graphicData>
            </a:graphic>
          </wp:inline>
        </w:drawing>
      </w:r>
    </w:p>
    <w:p w14:paraId="6A05A809" w14:textId="4F8C0D82" w:rsidR="00961ABE" w:rsidRDefault="00961ABE" w:rsidP="00BF2B4E">
      <w:pPr>
        <w:pStyle w:val="StandardWeb"/>
      </w:pPr>
    </w:p>
    <w:p w14:paraId="52BA3346" w14:textId="77777777" w:rsidR="00BF2B4E" w:rsidRDefault="00BF2B4E" w:rsidP="00BF2B4E">
      <w:pPr>
        <w:pStyle w:val="whitespace-pre-wrap"/>
      </w:pPr>
      <w:r>
        <w:t>Die thorakalen Verletzungen beschleunigen das Atemversagen exponentiell. Die Zerstörung der Interkostalmuskulatur und Rippenbogen reduziert die Lungenkapazität um ~40-50%, was eine respiratorische Dekompensation innerhalb von 3-5 Minuten bewirkt.</w:t>
      </w:r>
    </w:p>
    <w:p w14:paraId="79CF302D" w14:textId="77777777" w:rsidR="00BF2B4E" w:rsidRDefault="00BF2B4E" w:rsidP="00BF2B4E">
      <w:pPr>
        <w:pStyle w:val="whitespace-pre-wrap"/>
      </w:pPr>
      <w:r>
        <w:t>Gefäßverletzungen induzieren einen Volumenmangelschock mit einer Geschwindigkeit von ~100-150 ml Blutverlust pro Minute. Die kritische Grenze von ~30% Blutvolumenverlust wird innerhalb von 7-10 Minuten erreicht, was einen irreversiblen hämodynamischen Zusammenbruch bedeutet.</w:t>
      </w:r>
    </w:p>
    <w:p w14:paraId="726A7FB4" w14:textId="77777777" w:rsidR="00BF2B4E" w:rsidRDefault="00BF2B4E" w:rsidP="00BF2B4E">
      <w:pPr>
        <w:pStyle w:val="whitespace-pre-wrap"/>
      </w:pPr>
      <w:r>
        <w:lastRenderedPageBreak/>
        <w:t>Wundinfektionen verlängern paradoxerweise das Leiden, indem sie inflammatorische Prozesse aktivieren. Die bakterielle Kolonisierung erhöht die Entzündungsmarker exponentiell und kann Nekroseareale von ~10-15 cm² innerhalb weniger Stunden generieren.</w:t>
      </w:r>
    </w:p>
    <w:p w14:paraId="0AE455F2" w14:textId="77777777" w:rsidR="00BF2B4E" w:rsidRDefault="00BF2B4E" w:rsidP="00BF2B4E">
      <w:pPr>
        <w:pStyle w:val="whitespace-pre-wrap"/>
      </w:pPr>
      <w:r>
        <w:t>Diese physiologischen Prozesse konvergieren in einem komplexen Zusammenbruch biologischer Systemfunktionen, der die Grenzen menschlicher Überlebensfähigkeit radikal offenlegt.</w:t>
      </w:r>
    </w:p>
    <w:p w14:paraId="0AB76CC6" w14:textId="77777777" w:rsidR="00141719" w:rsidRPr="008528E0" w:rsidRDefault="00285A82" w:rsidP="008528E0">
      <w:pPr>
        <w:pStyle w:val="StandardWeb"/>
      </w:pPr>
      <w:r>
        <w:t xml:space="preserve">Insgesamt variierte die durchschnittliche Überlebenszeit zwischen 6 und 24 Stunden. In Fällen maximaler Vorschädigung konnte sie auf 2-3 Stunden reduziert sein, während sie unter optimalen Bedingungen bis zu 3-4 Tage betragen konnte. Diese Faktoren zeigen die extremen physischen Belastungen und die Vielfalt der Bedingungen, die das Überleben am </w:t>
      </w:r>
      <w:r w:rsidR="008528E0">
        <w:t>Kreuz beeinflussten.</w:t>
      </w:r>
    </w:p>
    <w:p w14:paraId="51232ED9" w14:textId="77777777" w:rsidR="00141719" w:rsidRPr="00141719" w:rsidRDefault="00141719" w:rsidP="005242F7">
      <w:pPr>
        <w:pStyle w:val="berschrift3"/>
        <w:rPr>
          <w:rFonts w:eastAsia="Times New Roman"/>
          <w:lang w:eastAsia="de-DE"/>
        </w:rPr>
      </w:pPr>
      <w:r w:rsidRPr="00141719">
        <w:rPr>
          <w:rFonts w:eastAsia="Times New Roman"/>
          <w:lang w:eastAsia="de-DE"/>
        </w:rPr>
        <w:t>4.4.1 Primäre Faktoren</w:t>
      </w:r>
    </w:p>
    <w:p w14:paraId="2262E695" w14:textId="77777777" w:rsidR="00141719" w:rsidRPr="00141719" w:rsidRDefault="00141719" w:rsidP="005242F7">
      <w:p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Respiratorisches Versagen:</w:t>
      </w:r>
      <w:r w:rsidRPr="00141719">
        <w:rPr>
          <w:rFonts w:ascii="Times New Roman" w:eastAsia="Times New Roman" w:hAnsi="Times New Roman"/>
          <w:lang w:eastAsia="de-DE"/>
        </w:rPr>
        <w:t xml:space="preserve"> </w:t>
      </w:r>
    </w:p>
    <w:p w14:paraId="08598222" w14:textId="77777777" w:rsidR="00141719" w:rsidRPr="00141719" w:rsidRDefault="00141719" w:rsidP="001B6D02">
      <w:pPr>
        <w:numPr>
          <w:ilvl w:val="1"/>
          <w:numId w:val="9"/>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Progressive Hypoxie</w:t>
      </w:r>
    </w:p>
    <w:p w14:paraId="6986DF7E" w14:textId="77777777" w:rsidR="00141719" w:rsidRPr="00141719" w:rsidRDefault="00141719" w:rsidP="001B6D02">
      <w:pPr>
        <w:numPr>
          <w:ilvl w:val="1"/>
          <w:numId w:val="9"/>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Hyperkapnie</w:t>
      </w:r>
    </w:p>
    <w:p w14:paraId="7F1605F7" w14:textId="77777777" w:rsidR="00141719" w:rsidRPr="00141719" w:rsidRDefault="00141719" w:rsidP="001B6D02">
      <w:pPr>
        <w:numPr>
          <w:ilvl w:val="1"/>
          <w:numId w:val="9"/>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Erschöpfung der Atemmuskulatur</w:t>
      </w:r>
    </w:p>
    <w:p w14:paraId="1F92D2B4" w14:textId="77777777" w:rsidR="00141719" w:rsidRPr="00141719" w:rsidRDefault="00141719" w:rsidP="001B6D02">
      <w:pPr>
        <w:numPr>
          <w:ilvl w:val="1"/>
          <w:numId w:val="9"/>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Terminale Asphyxie</w:t>
      </w:r>
    </w:p>
    <w:p w14:paraId="6B4D53B5" w14:textId="77777777" w:rsidR="00141719" w:rsidRPr="00141719" w:rsidRDefault="00141719" w:rsidP="005242F7">
      <w:p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Kreislaufversagen:</w:t>
      </w:r>
      <w:r w:rsidRPr="00141719">
        <w:rPr>
          <w:rFonts w:ascii="Times New Roman" w:eastAsia="Times New Roman" w:hAnsi="Times New Roman"/>
          <w:lang w:eastAsia="de-DE"/>
        </w:rPr>
        <w:t xml:space="preserve"> </w:t>
      </w:r>
    </w:p>
    <w:p w14:paraId="448E4A40" w14:textId="77777777" w:rsidR="00141719" w:rsidRPr="00141719" w:rsidRDefault="00141719" w:rsidP="001B6D02">
      <w:pPr>
        <w:numPr>
          <w:ilvl w:val="1"/>
          <w:numId w:val="9"/>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Hypovolämischer Schock</w:t>
      </w:r>
    </w:p>
    <w:p w14:paraId="4788D561" w14:textId="77777777" w:rsidR="00141719" w:rsidRPr="00141719" w:rsidRDefault="00141719" w:rsidP="001B6D02">
      <w:pPr>
        <w:numPr>
          <w:ilvl w:val="1"/>
          <w:numId w:val="9"/>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Kardiogene Komponente</w:t>
      </w:r>
    </w:p>
    <w:p w14:paraId="3203F03C" w14:textId="77777777" w:rsidR="00141719" w:rsidRPr="00141719" w:rsidRDefault="00141719" w:rsidP="001B6D02">
      <w:pPr>
        <w:numPr>
          <w:ilvl w:val="1"/>
          <w:numId w:val="9"/>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Vasovagale Reaktionen</w:t>
      </w:r>
    </w:p>
    <w:p w14:paraId="6F029295" w14:textId="77777777" w:rsidR="00141719" w:rsidRDefault="00141719" w:rsidP="001B6D02">
      <w:pPr>
        <w:numPr>
          <w:ilvl w:val="1"/>
          <w:numId w:val="9"/>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Terminale Rhythmusstörungen</w:t>
      </w:r>
    </w:p>
    <w:p w14:paraId="1D4574BB" w14:textId="77777777" w:rsidR="00756650" w:rsidRDefault="00DC4F8C" w:rsidP="00DC4F8C">
      <w:pPr>
        <w:pStyle w:val="StandardWeb"/>
      </w:pPr>
      <w:r>
        <w:t xml:space="preserve">Während der Kreuzigung kam es häufig zu einem respiratorischen und kardiovaskulären Versagen, die zusammen zu einem qualvollen </w:t>
      </w:r>
      <w:r>
        <w:lastRenderedPageBreak/>
        <w:t>Tod führten. Das respiratorische Versagen begann mit einer progressiven Hypoxie, einer stetig abnehmenden Sauerstoffkonzentration im Blut, die durch die erschwerte Atmung und die Fixierung des Körpers am Kreuz verursacht wurde. Dies führte zu einer Hyperkapnie, einem Anstieg des Kohlendioxidgehalts im Blut, was die Atemnot weiter verschärfte. Die erschöpfte Atemmuskulatur konnte schließlich nicht mehr effektiv arbeiten, was zu einer terminalen Asphyxie führte, dem völligen Versagen der Atmung.</w:t>
      </w:r>
    </w:p>
    <w:p w14:paraId="281499F8" w14:textId="77777777" w:rsidR="00DC4F8C" w:rsidRDefault="00DC4F8C" w:rsidP="00DC4F8C">
      <w:pPr>
        <w:pStyle w:val="StandardWeb"/>
      </w:pPr>
      <w:r>
        <w:t>Parallel dazu setzte das Kreislaufversagen ein, bedingt durch einen hypovolämischen Schock. Dieser wurde durch den erheblichen Blutverlust und die Dehydration verschärft. Eine kardiogene Komponente trug ebenfalls bei, da das Herz zunehmend schwächer wurde und die notwendige Blutversorgung des Körpers nicht mehr aufrechterhalten konnte. Vasovagale Reaktionen, ausgelöst durch den extremen Schmerz und das physiologische Trauma, führten zu weiteren Komplikationen im Kreislaufsystem. Terminale Rhythmusstörungen, wie schwere Arrhythmien, traten auf und beschleunigten den Todeseintritt.</w:t>
      </w:r>
    </w:p>
    <w:p w14:paraId="426CB561" w14:textId="77777777" w:rsidR="00DC4F8C" w:rsidRPr="00141719" w:rsidRDefault="00DC4F8C" w:rsidP="00C33C92">
      <w:pPr>
        <w:pStyle w:val="StandardWeb"/>
      </w:pPr>
      <w:r>
        <w:t>Diese Prozesse, die während einer Kreuzigung abliefen, verdeutlichen die schrecklichen physischen Belastungen und die extremen Schmerzen, die die Opfer ertragen mussten. Letztendlich führte die Kombination aus respiratorischem und kardiovaskulärem Versagen zu einem schnellen und qualvollen Tod, der durch die Mobilisierung der letzten Energiereserven und die Erschöpfung des K</w:t>
      </w:r>
      <w:r w:rsidR="00C33C92">
        <w:t>örpers noch beschleunigt wurde.</w:t>
      </w:r>
    </w:p>
    <w:p w14:paraId="0F2B7072" w14:textId="77777777" w:rsidR="00141719" w:rsidRPr="00141719" w:rsidRDefault="00141719" w:rsidP="005242F7">
      <w:pPr>
        <w:pStyle w:val="berschrift3"/>
        <w:rPr>
          <w:rFonts w:eastAsia="Times New Roman"/>
          <w:lang w:eastAsia="de-DE"/>
        </w:rPr>
      </w:pPr>
      <w:r w:rsidRPr="00141719">
        <w:rPr>
          <w:rFonts w:eastAsia="Times New Roman"/>
          <w:lang w:eastAsia="de-DE"/>
        </w:rPr>
        <w:t>4.4.2 Sekundäre Faktoren</w:t>
      </w:r>
    </w:p>
    <w:p w14:paraId="426E41DB" w14:textId="77777777" w:rsidR="00141719" w:rsidRPr="00141719" w:rsidRDefault="00141719" w:rsidP="001B6D02">
      <w:pPr>
        <w:numPr>
          <w:ilvl w:val="0"/>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Neurologische Komplikationen:</w:t>
      </w:r>
      <w:r w:rsidRPr="00141719">
        <w:rPr>
          <w:rFonts w:ascii="Times New Roman" w:eastAsia="Times New Roman" w:hAnsi="Times New Roman"/>
          <w:lang w:eastAsia="de-DE"/>
        </w:rPr>
        <w:t xml:space="preserve"> </w:t>
      </w:r>
    </w:p>
    <w:p w14:paraId="41DBD19A" w14:textId="77777777" w:rsidR="00141719" w:rsidRPr="00141719" w:rsidRDefault="00141719" w:rsidP="001B6D02">
      <w:pPr>
        <w:numPr>
          <w:ilvl w:val="1"/>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Medianusläsion durch Nagelung</w:t>
      </w:r>
    </w:p>
    <w:p w14:paraId="7FCD9494" w14:textId="77777777" w:rsidR="00141719" w:rsidRPr="00141719" w:rsidRDefault="00141719" w:rsidP="001B6D02">
      <w:pPr>
        <w:numPr>
          <w:ilvl w:val="1"/>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Plexus-brachialis-Dehnung</w:t>
      </w:r>
    </w:p>
    <w:p w14:paraId="6936CE8B" w14:textId="77777777" w:rsidR="00141719" w:rsidRPr="00141719" w:rsidRDefault="00141719" w:rsidP="001B6D02">
      <w:pPr>
        <w:numPr>
          <w:ilvl w:val="1"/>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Schmerzinduzierter Schock</w:t>
      </w:r>
    </w:p>
    <w:p w14:paraId="21B1F0BE" w14:textId="77777777" w:rsidR="00141719" w:rsidRPr="00141719" w:rsidRDefault="00141719" w:rsidP="001B6D02">
      <w:pPr>
        <w:numPr>
          <w:ilvl w:val="1"/>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lastRenderedPageBreak/>
        <w:t>Zentrale Erschöpfung</w:t>
      </w:r>
    </w:p>
    <w:p w14:paraId="3A36970E" w14:textId="77777777" w:rsidR="00141719" w:rsidRPr="00141719" w:rsidRDefault="00141719" w:rsidP="001B6D02">
      <w:pPr>
        <w:numPr>
          <w:ilvl w:val="0"/>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Multiorganversagen:</w:t>
      </w:r>
      <w:r w:rsidRPr="00141719">
        <w:rPr>
          <w:rFonts w:ascii="Times New Roman" w:eastAsia="Times New Roman" w:hAnsi="Times New Roman"/>
          <w:lang w:eastAsia="de-DE"/>
        </w:rPr>
        <w:t xml:space="preserve"> </w:t>
      </w:r>
    </w:p>
    <w:p w14:paraId="146730B2" w14:textId="77777777" w:rsidR="00141719" w:rsidRPr="00141719" w:rsidRDefault="00141719" w:rsidP="001B6D02">
      <w:pPr>
        <w:numPr>
          <w:ilvl w:val="1"/>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Nierenversagen durch Minderperfusion</w:t>
      </w:r>
    </w:p>
    <w:p w14:paraId="40EB1770" w14:textId="77777777" w:rsidR="00141719" w:rsidRPr="00141719" w:rsidRDefault="00141719" w:rsidP="001B6D02">
      <w:pPr>
        <w:numPr>
          <w:ilvl w:val="1"/>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Leberinsuffizienz</w:t>
      </w:r>
    </w:p>
    <w:p w14:paraId="1AECD6F8" w14:textId="77777777" w:rsidR="00141719" w:rsidRPr="00141719" w:rsidRDefault="00141719" w:rsidP="001B6D02">
      <w:pPr>
        <w:numPr>
          <w:ilvl w:val="1"/>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Mikrozirkulationsstörungen</w:t>
      </w:r>
    </w:p>
    <w:p w14:paraId="78837763" w14:textId="77777777" w:rsidR="00141719" w:rsidRDefault="00141719" w:rsidP="001B6D02">
      <w:pPr>
        <w:numPr>
          <w:ilvl w:val="1"/>
          <w:numId w:val="10"/>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Endotoxinämie</w:t>
      </w:r>
    </w:p>
    <w:p w14:paraId="73D905CE" w14:textId="77777777" w:rsidR="00DC4F8C" w:rsidRDefault="00DC4F8C" w:rsidP="0079395B">
      <w:pPr>
        <w:pStyle w:val="StandardWeb"/>
      </w:pPr>
      <w:r>
        <w:t>Die Kreuzigung verursachte extreme nozizeptive Reize und führte zu vielfältigen Schmerzempfindungen und Bewusstseinszuständen. Mechanische Reizungen durch die Nägel aktivierten die A-delta- und C-Fasern, die für die Schmerzübertragung verantwortlich sind. Ischämischer Schmerz entstand durch die Minderdurchblutung der Gewebe, während Dauerkontraktionen der Muskeln und Verletzungen der Knochenhaut (Periost) zu intensivem Muskelschmerz und Periostschmerz führten.</w:t>
      </w:r>
    </w:p>
    <w:p w14:paraId="34208660" w14:textId="77777777" w:rsidR="00DC4F8C" w:rsidRDefault="00DC4F8C" w:rsidP="0079395B">
      <w:pPr>
        <w:pStyle w:val="StandardWeb"/>
      </w:pPr>
      <w:r>
        <w:t>Zu Beginn der Kreuzigung konnte der Körper durch die Aktivierung absteigender Hemmsysteme versuchen, den Schmerz zu modulieren. Diese Schmerzmodulation hielt jedoch nur etwa 1-2 Stunden an, bevor die Mechanismen überfordert waren und eine zentrale Sensibilisierung eintrat. Dadurch wurde der Schmerz intensiver und schwieriger zu kontrollieren. Die massive Ausschüttung von β-Endorphinen führte zu einem temporären Höhepunkt der Schmerzlinderung innerhalb der ersten 30-60 Minuten. Diese Endorphinausschüttung nahm jedoch ab, als die körpereigenen Reserven erschöpft waren, wodurch eine relative Schmerzlinderung in der Terminalphase eintrat.</w:t>
      </w:r>
    </w:p>
    <w:p w14:paraId="4BB61934" w14:textId="77777777" w:rsidR="00DC4F8C" w:rsidRDefault="00DC4F8C" w:rsidP="0079395B">
      <w:pPr>
        <w:pStyle w:val="StandardWeb"/>
      </w:pPr>
      <w:r>
        <w:t>Das Schmerzgedächtnis spielte ebenfalls eine bedeutende Rolle. Sofortiges implizites Schmerzlernen und neuronale Plastizität durch die Dauerreizung führten zu einer gestörten Schmerzverarbeitung im Hippocampus und zu einer Long-term Potentierung in den Schmerzarealen des Gehirns.</w:t>
      </w:r>
    </w:p>
    <w:p w14:paraId="3FB23EC3" w14:textId="77777777" w:rsidR="00DC4F8C" w:rsidRDefault="00DC4F8C" w:rsidP="0079395B">
      <w:pPr>
        <w:pStyle w:val="StandardWeb"/>
      </w:pPr>
      <w:r>
        <w:lastRenderedPageBreak/>
        <w:t>Die Bewusstseinszustände während der Kreuzigung schwankten stark. Initial trat durch den Stress ein Hyperarousal ein, das sich in erhöhter Wachsamkeit äußerte. Im weiteren Verlauf führten Phasen von Bewusstseinseintrübungen und fluktuierender Vigilanz zu einem veränderten Bewusstseinszustand. In der Terminalphase trat schließlich durch Hypoxie (Sauerstoffmangel) und Azidose (Übersäuerung des Blutes) ein Bewusstseinsverlust ein.</w:t>
      </w:r>
    </w:p>
    <w:p w14:paraId="4D7B80FF" w14:textId="77777777" w:rsidR="00DC4F8C" w:rsidRDefault="00DC4F8C" w:rsidP="0079395B">
      <w:pPr>
        <w:pStyle w:val="StandardWeb"/>
      </w:pPr>
      <w:r>
        <w:t xml:space="preserve">Neben diesen bereits erwähnten Reizen und Zuständen traten auch erhebliche </w:t>
      </w:r>
      <w:r>
        <w:rPr>
          <w:rStyle w:val="Fett"/>
        </w:rPr>
        <w:t>neurologische Komplikationen</w:t>
      </w:r>
      <w:r>
        <w:t xml:space="preserve"> auf. Dazu gehörten Medianusläsionen durch die Nagelung, die intensive Schmerzen und Funktionsverluste verursachten, sowie die Dehnung des Plexus brachialis, die zusätzliche neuropathische Schmerzen hervorrief. Diese mechanischen Schäden führten oft zu einem schmerzinduzierten Schock und schließlich zu einer zentralen Erschöpfung des Nervensystems.</w:t>
      </w:r>
    </w:p>
    <w:p w14:paraId="679945F6" w14:textId="77777777" w:rsidR="00DC4F8C" w:rsidRDefault="00DC4F8C" w:rsidP="0079395B">
      <w:pPr>
        <w:pStyle w:val="StandardWeb"/>
      </w:pPr>
      <w:r>
        <w:t xml:space="preserve">Die extremen körperlichen Belastungen und der massive Blutverlust führten zudem oft zu einem </w:t>
      </w:r>
      <w:r>
        <w:rPr>
          <w:rStyle w:val="Fett"/>
        </w:rPr>
        <w:t>Multiorganversagen</w:t>
      </w:r>
      <w:r>
        <w:t>. Nierenversagen durch Minderdurchblutung war häufig, ebenso wie eine Leberinsuffizienz. Mikrozirkulationsstörungen und eine Endotoxinämie, bedingt durch bakterielle Infektionen der Wunden, trugen weiter zum Organversagen bei. Diese systemischen Komplikationen kombinierten sich zu einem fatalen Ausgang, verstärkt durch die zusätzlichen Belastungen der Kreuzigung.</w:t>
      </w:r>
    </w:p>
    <w:p w14:paraId="08437E4C" w14:textId="77777777" w:rsidR="00DC4F8C" w:rsidRPr="00141719" w:rsidRDefault="00DC4F8C" w:rsidP="008528E0">
      <w:pPr>
        <w:pStyle w:val="StandardWeb"/>
      </w:pPr>
      <w:r>
        <w:t>Diese Kombination aus extremen physischen und psychischen Belastungen, gepaart mit den nozizeptiven Reizen, neurologischen Komplikationen und dem Multiorganversagen, zeigt die immense Qual und das Leiden, das die Kreuzigung verursachte. Der Tod trat letztlich durch eine Kombination aus respiratorischem und kardiovaskulärem Versagen ein, wodurch die letzten Energiereserven des Körper</w:t>
      </w:r>
      <w:r w:rsidR="008528E0">
        <w:t>s vollständig erschöpft wurden.</w:t>
      </w:r>
    </w:p>
    <w:p w14:paraId="71260050" w14:textId="77777777" w:rsidR="00096F8F" w:rsidRDefault="00096F8F" w:rsidP="00096F8F">
      <w:pPr>
        <w:pStyle w:val="berschrift3"/>
        <w:rPr>
          <w:sz w:val="48"/>
          <w:szCs w:val="48"/>
        </w:rPr>
      </w:pPr>
      <w:r>
        <w:lastRenderedPageBreak/>
        <w:t>4.4.3 Biomechanische Analyse der Handnagelung</w:t>
      </w:r>
    </w:p>
    <w:p w14:paraId="7845DE99" w14:textId="77777777" w:rsidR="00096F8F" w:rsidRDefault="00096F8F" w:rsidP="00096F8F">
      <w:pPr>
        <w:pStyle w:val="whitespace-pre-wrap"/>
      </w:pPr>
      <w:r>
        <w:t>Die traditionelle Vorstellung einer Nagelung durch die Handflächen ist aus biomechanischer Sicht unhaltbar. Eine detaillierte Kraftanalyse zeigt, dass die Handflächengewebe dem Körpergewicht nicht standhalten könnten.</w:t>
      </w:r>
    </w:p>
    <w:p w14:paraId="08394EE1" w14:textId="77777777" w:rsidR="00096F8F" w:rsidRDefault="00096F8F" w:rsidP="00096F8F">
      <w:pPr>
        <w:pStyle w:val="whitespace-pre-wrap"/>
      </w:pPr>
      <w:r>
        <w:t>Das Durchschnittsgewicht eines erwachsenen Mannes im 1. Jahrhundert von etwa 70 kg erzeugt bei gekreuzigter Position eine Zugkraft von etwa 110 kg pro Hand (basierend auf dem typischen Armwinkel von 60-65°). Das weiche Gewebe der Handfläche besitzt eine maximale Reißfestigkeit von nur etwa 35 kg. Selbst unter Berücksichtigung möglicher Seilstützung würde das Gewebe unweigerlich ausreißen.</w:t>
      </w:r>
    </w:p>
    <w:p w14:paraId="1BB6C9E1" w14:textId="77777777" w:rsidR="00096F8F" w:rsidRDefault="00096F8F" w:rsidP="00096F8F">
      <w:pPr>
        <w:pStyle w:val="whitespace-pre-wrap"/>
      </w:pPr>
      <w:r>
        <w:t>Der im Griechischen verwendete Begriff "χείρ" (cheir) für "Hand" umfasst etymologisch den gesamten Bereich von den Fingerspitzen bis zum Unterarm, ähnlich wie im Hebräischen "יד" (yad). Diese sprachliche Breite erlaubt eine anatomisch präzisere Lokalisation der Nagelung im Bereich des distalen Radioulnargelenks, dem sogenannten "Destot-Spalt" zwischen den Handwurzelknochen.</w:t>
      </w:r>
    </w:p>
    <w:p w14:paraId="23FE14B9" w14:textId="77777777" w:rsidR="00096F8F" w:rsidRDefault="00096F8F" w:rsidP="00096F8F">
      <w:pPr>
        <w:pStyle w:val="whitespace-pre-wrap"/>
      </w:pPr>
      <w:r>
        <w:t>Diese Position bietet mehrere biomechanische Vorteile:</w:t>
      </w:r>
    </w:p>
    <w:p w14:paraId="3DCF2104" w14:textId="77777777" w:rsidR="00096F8F" w:rsidRDefault="00096F8F" w:rsidP="00714222">
      <w:pPr>
        <w:numPr>
          <w:ilvl w:val="0"/>
          <w:numId w:val="291"/>
        </w:numPr>
        <w:spacing w:before="100" w:beforeAutospacing="1" w:after="100" w:afterAutospacing="1"/>
      </w:pPr>
      <w:r>
        <w:t>Die knöcherne Struktur kann Lasten bis zu 200 kg tragen</w:t>
      </w:r>
    </w:p>
    <w:p w14:paraId="028AC368" w14:textId="77777777" w:rsidR="00096F8F" w:rsidRDefault="00096F8F" w:rsidP="00714222">
      <w:pPr>
        <w:numPr>
          <w:ilvl w:val="0"/>
          <w:numId w:val="291"/>
        </w:numPr>
        <w:spacing w:before="100" w:beforeAutospacing="1" w:after="100" w:afterAutospacing="1"/>
      </w:pPr>
      <w:r>
        <w:t>Hauptnerven und Arterien bleiben größtenteils unverletzt</w:t>
      </w:r>
    </w:p>
    <w:p w14:paraId="0964BA7D" w14:textId="77777777" w:rsidR="00096F8F" w:rsidRDefault="00096F8F" w:rsidP="00714222">
      <w:pPr>
        <w:numPr>
          <w:ilvl w:val="0"/>
          <w:numId w:val="291"/>
        </w:numPr>
        <w:spacing w:before="100" w:beforeAutospacing="1" w:after="100" w:afterAutospacing="1"/>
      </w:pPr>
      <w:r>
        <w:t>Das umgebende Bindegewebe verhindert Ausrisse</w:t>
      </w:r>
    </w:p>
    <w:p w14:paraId="4F115CFC" w14:textId="77777777" w:rsidR="00096F8F" w:rsidRDefault="00096F8F" w:rsidP="00714222">
      <w:pPr>
        <w:numPr>
          <w:ilvl w:val="0"/>
          <w:numId w:val="291"/>
        </w:numPr>
        <w:spacing w:before="100" w:beforeAutospacing="1" w:after="100" w:afterAutospacing="1"/>
      </w:pPr>
      <w:r>
        <w:t>Die Position ermöglicht die notwendigen Auf- und Abbewegungen zum Atmen</w:t>
      </w:r>
    </w:p>
    <w:p w14:paraId="6DDCF68F" w14:textId="77777777" w:rsidR="00096F8F" w:rsidRDefault="00096F8F" w:rsidP="00096F8F">
      <w:pPr>
        <w:pStyle w:val="whitespace-pre-wrap"/>
      </w:pPr>
      <w:r>
        <w:t xml:space="preserve">Der archäologische Fund des Gekreuzigten von Giv'at ha-Mivtar bestätigt diese Lokalisation. Der gefundene Nagel durchdrang den distalen Unterarmbereich, nicht die Handfläche. Auch römische Hinrichtungsexperten waren mit der Anatomie vertraut und wählten </w:t>
      </w:r>
      <w:r>
        <w:lastRenderedPageBreak/>
        <w:t>bewusst Fixierungspunkte, die lange Überlebenszeiten ermöglichten.</w:t>
      </w:r>
    </w:p>
    <w:p w14:paraId="0B8324F7" w14:textId="23D2BC25" w:rsidR="00096F8F" w:rsidRDefault="00BA2659" w:rsidP="00096F8F">
      <w:pPr>
        <w:pStyle w:val="whitespace-pre-wrap"/>
      </w:pPr>
      <w:r>
        <w:rPr>
          <w:noProof/>
          <w:color w:val="000000"/>
          <w:shd w:val="clear" w:color="auto" w:fill="FFFFFF"/>
        </w:rPr>
        <w:drawing>
          <wp:inline distT="0" distB="0" distL="0" distR="0" wp14:anchorId="66888F1C" wp14:editId="3FC2158C">
            <wp:extent cx="4176395" cy="417639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LL·E 2024-12-29 16.42.24 - A technical drawing illustrating the biomechanics of crucifixion. The drawing shows detailed anatomical positioning of hands and feet without the body.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76395" cy="4176395"/>
                    </a:xfrm>
                    <a:prstGeom prst="rect">
                      <a:avLst/>
                    </a:prstGeom>
                  </pic:spPr>
                </pic:pic>
              </a:graphicData>
            </a:graphic>
          </wp:inline>
        </w:drawing>
      </w:r>
      <w:r w:rsidRPr="00BA2659">
        <w:rPr>
          <w:color w:val="000000"/>
          <w:shd w:val="clear" w:color="auto" w:fill="FFFFFF"/>
        </w:rPr>
        <w:br/>
      </w:r>
      <w:r>
        <w:rPr>
          <w:color w:val="000000"/>
          <w:shd w:val="clear" w:color="auto" w:fill="FFFFFF"/>
        </w:rPr>
        <w:br/>
      </w:r>
      <w:r w:rsidR="00096F8F">
        <w:t>Medizinische Experimente mit Leichen haben gezeigt, dass Nägel durch die Handflächen bei Belastungen von 40-45 kg ausreißen, während die Fixierung im Handgelenksbereich Lasten bis zu 200 kg standhält. Die von Forschern wie Barbet und Edwards durchgeführten Tests demonstrieren eindeutig die biomechanische Überlegenheit der Handgelenksposition.</w:t>
      </w:r>
    </w:p>
    <w:p w14:paraId="2647CF66" w14:textId="77777777" w:rsidR="00096F8F" w:rsidRDefault="00096F8F" w:rsidP="00096F8F">
      <w:pPr>
        <w:pStyle w:val="whitespace-pre-wrap"/>
      </w:pPr>
      <w:r>
        <w:lastRenderedPageBreak/>
        <w:t>Diese wissenschaftliche Evidenz korrigiert die durch mittelalterliche Kunst geprägte Vorstellung der Handflächen-Nagelung und zeigt, dass die historische Kreuzigungspraxis auf einem präzisen Verständnis menschlicher Anatomie basierte. Die sprachliche Analyse des griechischen Begriffes harmoniert dabei perfekt mit den biomechanischen und archäologischen Befunden.</w:t>
      </w:r>
    </w:p>
    <w:p w14:paraId="2DC1FF5F" w14:textId="77777777" w:rsidR="00096F8F" w:rsidRDefault="00096F8F" w:rsidP="00096F8F">
      <w:pPr>
        <w:pStyle w:val="whitespace-pre-wrap"/>
      </w:pPr>
      <w:r>
        <w:t>Diese Erkenntnisse sind nicht nur historisch interessant, sondern haben auch theologische Relevanz: Sie zeigen die Präzision der biblischen Überlieferung und die Historizität der beschriebenen Ereignisse. Die römische Kreuzigungspraxis war eine "optimierte" Form der Hinrichtung, die maximales Leiden bei längstmöglicher Überlebenszeit gewährleistete.</w:t>
      </w:r>
    </w:p>
    <w:p w14:paraId="6FF732D0" w14:textId="77777777" w:rsidR="00557769" w:rsidRPr="00557769" w:rsidRDefault="00141719" w:rsidP="00424979">
      <w:pPr>
        <w:pStyle w:val="berschrift3"/>
      </w:pPr>
      <w:r w:rsidRPr="00141719">
        <w:t>4.4.</w:t>
      </w:r>
      <w:r w:rsidR="00096F8F">
        <w:t>4.</w:t>
      </w:r>
      <w:r w:rsidR="00557769" w:rsidRPr="00557769">
        <w:t>Der Speerstich in die Seite Jesu und seine medizinische Deutung</w:t>
      </w:r>
    </w:p>
    <w:p w14:paraId="5ECC08D4" w14:textId="77777777" w:rsidR="00141719" w:rsidRPr="00973F2A" w:rsidRDefault="00141719" w:rsidP="001B6D02">
      <w:pPr>
        <w:numPr>
          <w:ilvl w:val="0"/>
          <w:numId w:val="11"/>
        </w:numPr>
        <w:spacing w:before="100" w:beforeAutospacing="1" w:after="100" w:afterAutospacing="1"/>
        <w:rPr>
          <w:rFonts w:ascii="Times New Roman" w:eastAsia="Times New Roman" w:hAnsi="Times New Roman"/>
          <w:lang w:eastAsia="de-DE"/>
        </w:rPr>
      </w:pPr>
      <w:r w:rsidRPr="00973F2A">
        <w:rPr>
          <w:rFonts w:ascii="Times New Roman" w:eastAsia="Times New Roman" w:hAnsi="Times New Roman"/>
          <w:lang w:eastAsia="de-DE"/>
        </w:rPr>
        <w:t>Penetration des Perikards</w:t>
      </w:r>
    </w:p>
    <w:p w14:paraId="65012921" w14:textId="77777777" w:rsidR="00141719" w:rsidRPr="00141719" w:rsidRDefault="00141719" w:rsidP="001B6D02">
      <w:pPr>
        <w:numPr>
          <w:ilvl w:val="0"/>
          <w:numId w:val="11"/>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Austritt von "Blut und Wasser"</w:t>
      </w:r>
    </w:p>
    <w:p w14:paraId="67C142DA" w14:textId="77777777" w:rsidR="00141719" w:rsidRPr="00141719" w:rsidRDefault="00141719" w:rsidP="001B6D02">
      <w:pPr>
        <w:numPr>
          <w:ilvl w:val="0"/>
          <w:numId w:val="11"/>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Bestätigung des eingetretenen Todes</w:t>
      </w:r>
    </w:p>
    <w:p w14:paraId="00956DBC" w14:textId="77777777" w:rsidR="00141719" w:rsidRPr="00141719" w:rsidRDefault="00141719" w:rsidP="001B6D02">
      <w:pPr>
        <w:numPr>
          <w:ilvl w:val="0"/>
          <w:numId w:val="11"/>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 xml:space="preserve">Medizinische Bedeutung: </w:t>
      </w:r>
    </w:p>
    <w:p w14:paraId="0888CF41" w14:textId="77777777" w:rsidR="00141719" w:rsidRPr="00141719" w:rsidRDefault="00141719" w:rsidP="001B6D02">
      <w:pPr>
        <w:numPr>
          <w:ilvl w:val="1"/>
          <w:numId w:val="11"/>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Hämoperikard</w:t>
      </w:r>
    </w:p>
    <w:p w14:paraId="7D4D2E02" w14:textId="77777777" w:rsidR="00141719" w:rsidRPr="00141719" w:rsidRDefault="00141719" w:rsidP="001B6D02">
      <w:pPr>
        <w:numPr>
          <w:ilvl w:val="1"/>
          <w:numId w:val="11"/>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Pleuraerguss</w:t>
      </w:r>
    </w:p>
    <w:p w14:paraId="5A791C6B" w14:textId="77777777" w:rsidR="00141719" w:rsidRPr="00141719" w:rsidRDefault="00141719" w:rsidP="001B6D02">
      <w:pPr>
        <w:numPr>
          <w:ilvl w:val="1"/>
          <w:numId w:val="11"/>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Post-mortem-Gerinnung</w:t>
      </w:r>
    </w:p>
    <w:p w14:paraId="6991D0EB" w14:textId="77777777" w:rsidR="00141719" w:rsidRDefault="00141719" w:rsidP="001B6D02">
      <w:pPr>
        <w:numPr>
          <w:ilvl w:val="1"/>
          <w:numId w:val="11"/>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Seröse Transsudation</w:t>
      </w:r>
    </w:p>
    <w:p w14:paraId="7A95339F" w14:textId="77777777" w:rsidR="00557769" w:rsidRDefault="00557769" w:rsidP="00557769">
      <w:pPr>
        <w:pStyle w:val="whitespace-pre-wrap"/>
      </w:pPr>
      <w:r>
        <w:t>Der in Joh 19,34 beschriebene Austritt von "Blut und Wasser" nach dem Lanzenstich lässt sich medizinisch erklären:</w:t>
      </w:r>
    </w:p>
    <w:p w14:paraId="3F913EF1" w14:textId="77777777" w:rsidR="00557769" w:rsidRPr="005242F7" w:rsidRDefault="00557769" w:rsidP="00557769">
      <w:pPr>
        <w:pStyle w:val="whitespace-pre-wrap"/>
        <w:rPr>
          <w:b/>
        </w:rPr>
      </w:pPr>
      <w:r w:rsidRPr="005242F7">
        <w:rPr>
          <w:b/>
        </w:rPr>
        <w:t>Anatomische Lokalisation:</w:t>
      </w:r>
    </w:p>
    <w:p w14:paraId="0D4E5EE5" w14:textId="77777777" w:rsidR="00557769" w:rsidRDefault="00557769" w:rsidP="001B6D02">
      <w:pPr>
        <w:numPr>
          <w:ilvl w:val="0"/>
          <w:numId w:val="43"/>
        </w:numPr>
        <w:spacing w:before="100" w:beforeAutospacing="1" w:after="100" w:afterAutospacing="1"/>
      </w:pPr>
      <w:r>
        <w:t>Stich zwischen 4.-5. Rippe rechts</w:t>
      </w:r>
    </w:p>
    <w:p w14:paraId="58BDC2AD" w14:textId="77777777" w:rsidR="00557769" w:rsidRDefault="00557769" w:rsidP="001B6D02">
      <w:pPr>
        <w:numPr>
          <w:ilvl w:val="0"/>
          <w:numId w:val="43"/>
        </w:numPr>
        <w:spacing w:before="100" w:beforeAutospacing="1" w:after="100" w:afterAutospacing="1"/>
      </w:pPr>
      <w:r>
        <w:t>Durchdringung des Herzbeutels</w:t>
      </w:r>
    </w:p>
    <w:p w14:paraId="35B6493E" w14:textId="77777777" w:rsidR="00557769" w:rsidRDefault="00557769" w:rsidP="001B6D02">
      <w:pPr>
        <w:numPr>
          <w:ilvl w:val="0"/>
          <w:numId w:val="43"/>
        </w:numPr>
        <w:spacing w:before="100" w:beforeAutospacing="1" w:after="100" w:afterAutospacing="1"/>
      </w:pPr>
      <w:r>
        <w:t>Verletzung des rechten Vorhofs</w:t>
      </w:r>
    </w:p>
    <w:p w14:paraId="4B2797F0" w14:textId="77777777" w:rsidR="00557769" w:rsidRPr="005242F7" w:rsidRDefault="00557769" w:rsidP="00557769">
      <w:pPr>
        <w:pStyle w:val="whitespace-pre-wrap"/>
        <w:rPr>
          <w:b/>
        </w:rPr>
      </w:pPr>
      <w:r w:rsidRPr="005242F7">
        <w:rPr>
          <w:b/>
        </w:rPr>
        <w:lastRenderedPageBreak/>
        <w:t>Pathophysiologie:</w:t>
      </w:r>
    </w:p>
    <w:p w14:paraId="274D97A2" w14:textId="77777777" w:rsidR="00557769" w:rsidRPr="00C33C92" w:rsidRDefault="00557769" w:rsidP="001B6D02">
      <w:pPr>
        <w:numPr>
          <w:ilvl w:val="0"/>
          <w:numId w:val="44"/>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Herzbeuteltamponade durch Einblutung</w:t>
      </w:r>
    </w:p>
    <w:p w14:paraId="1FF320DE" w14:textId="77777777" w:rsidR="00557769" w:rsidRPr="00C33C92" w:rsidRDefault="00557769" w:rsidP="001B6D02">
      <w:pPr>
        <w:numPr>
          <w:ilvl w:val="0"/>
          <w:numId w:val="44"/>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Trennung von Plasma (Wasser) und Erythrozyten (Blut)</w:t>
      </w:r>
    </w:p>
    <w:p w14:paraId="4F057E7D" w14:textId="77777777" w:rsidR="00557769" w:rsidRPr="00C33C92" w:rsidRDefault="00557769" w:rsidP="001B6D02">
      <w:pPr>
        <w:numPr>
          <w:ilvl w:val="0"/>
          <w:numId w:val="44"/>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Seröser Erguss im Herzbeutel durch Schockzustand</w:t>
      </w:r>
    </w:p>
    <w:p w14:paraId="560C7F78" w14:textId="77777777" w:rsidR="00557769" w:rsidRPr="005242F7" w:rsidRDefault="00557769" w:rsidP="00557769">
      <w:pPr>
        <w:pStyle w:val="whitespace-pre-wrap"/>
        <w:rPr>
          <w:b/>
        </w:rPr>
      </w:pPr>
      <w:r w:rsidRPr="005242F7">
        <w:rPr>
          <w:b/>
        </w:rPr>
        <w:t>Medizinische Erklärungen:</w:t>
      </w:r>
    </w:p>
    <w:p w14:paraId="65D9668A" w14:textId="77777777" w:rsidR="00557769" w:rsidRPr="005242F7" w:rsidRDefault="00557769" w:rsidP="001B6D02">
      <w:pPr>
        <w:numPr>
          <w:ilvl w:val="0"/>
          <w:numId w:val="45"/>
        </w:numPr>
        <w:spacing w:before="100" w:beforeAutospacing="1" w:after="100" w:afterAutospacing="1"/>
        <w:rPr>
          <w:rFonts w:ascii="Times New Roman" w:eastAsia="Times New Roman" w:hAnsi="Times New Roman"/>
          <w:lang w:eastAsia="de-DE"/>
        </w:rPr>
      </w:pPr>
      <w:r w:rsidRPr="005242F7">
        <w:rPr>
          <w:rFonts w:ascii="Times New Roman" w:eastAsia="Times New Roman" w:hAnsi="Times New Roman"/>
          <w:lang w:eastAsia="de-DE"/>
        </w:rPr>
        <w:t>Hämoperikard mit Sedimentation</w:t>
      </w:r>
    </w:p>
    <w:p w14:paraId="3BEE9B08" w14:textId="77777777" w:rsidR="00557769" w:rsidRPr="005242F7" w:rsidRDefault="00557769" w:rsidP="001B6D02">
      <w:pPr>
        <w:numPr>
          <w:ilvl w:val="0"/>
          <w:numId w:val="46"/>
        </w:numPr>
        <w:spacing w:before="100" w:beforeAutospacing="1" w:after="100" w:afterAutospacing="1"/>
        <w:rPr>
          <w:rFonts w:ascii="Times New Roman" w:eastAsia="Times New Roman" w:hAnsi="Times New Roman"/>
          <w:lang w:eastAsia="de-DE"/>
        </w:rPr>
      </w:pPr>
      <w:r w:rsidRPr="005242F7">
        <w:rPr>
          <w:rFonts w:ascii="Times New Roman" w:eastAsia="Times New Roman" w:hAnsi="Times New Roman"/>
          <w:lang w:eastAsia="de-DE"/>
        </w:rPr>
        <w:t>Trennung in Plasma und zelluläre Bestandteile</w:t>
      </w:r>
    </w:p>
    <w:p w14:paraId="58072DD7" w14:textId="77777777" w:rsidR="00557769" w:rsidRPr="005242F7" w:rsidRDefault="00557769" w:rsidP="001B6D02">
      <w:pPr>
        <w:numPr>
          <w:ilvl w:val="0"/>
          <w:numId w:val="46"/>
        </w:numPr>
        <w:spacing w:before="100" w:beforeAutospacing="1" w:after="100" w:afterAutospacing="1"/>
        <w:rPr>
          <w:rFonts w:ascii="Times New Roman" w:eastAsia="Times New Roman" w:hAnsi="Times New Roman"/>
          <w:lang w:eastAsia="de-DE"/>
        </w:rPr>
      </w:pPr>
      <w:r w:rsidRPr="005242F7">
        <w:rPr>
          <w:rFonts w:ascii="Times New Roman" w:eastAsia="Times New Roman" w:hAnsi="Times New Roman"/>
          <w:lang w:eastAsia="de-DE"/>
        </w:rPr>
        <w:t>"Wasser" = Serumüberstand</w:t>
      </w:r>
    </w:p>
    <w:p w14:paraId="7C416015" w14:textId="77777777" w:rsidR="00557769" w:rsidRPr="005242F7" w:rsidRDefault="00557769" w:rsidP="001B6D02">
      <w:pPr>
        <w:numPr>
          <w:ilvl w:val="0"/>
          <w:numId w:val="46"/>
        </w:numPr>
        <w:spacing w:before="100" w:beforeAutospacing="1" w:after="100" w:afterAutospacing="1"/>
        <w:rPr>
          <w:rFonts w:ascii="Times New Roman" w:eastAsia="Times New Roman" w:hAnsi="Times New Roman"/>
          <w:lang w:eastAsia="de-DE"/>
        </w:rPr>
      </w:pPr>
      <w:r w:rsidRPr="005242F7">
        <w:rPr>
          <w:rFonts w:ascii="Times New Roman" w:eastAsia="Times New Roman" w:hAnsi="Times New Roman"/>
          <w:lang w:eastAsia="de-DE"/>
        </w:rPr>
        <w:t>"Blut" = sedimentierte Erythrozyten</w:t>
      </w:r>
    </w:p>
    <w:p w14:paraId="45E6FDEE" w14:textId="77777777" w:rsidR="00557769" w:rsidRPr="005242F7" w:rsidRDefault="00557769" w:rsidP="001B6D02">
      <w:pPr>
        <w:numPr>
          <w:ilvl w:val="0"/>
          <w:numId w:val="47"/>
        </w:numPr>
        <w:spacing w:before="100" w:beforeAutospacing="1" w:after="100" w:afterAutospacing="1"/>
        <w:rPr>
          <w:rFonts w:ascii="Times New Roman" w:eastAsia="Times New Roman" w:hAnsi="Times New Roman"/>
          <w:lang w:eastAsia="de-DE"/>
        </w:rPr>
      </w:pPr>
      <w:r w:rsidRPr="005242F7">
        <w:rPr>
          <w:rFonts w:ascii="Times New Roman" w:eastAsia="Times New Roman" w:hAnsi="Times New Roman"/>
          <w:lang w:eastAsia="de-DE"/>
        </w:rPr>
        <w:t>Pleuraerguss mit Einblutung</w:t>
      </w:r>
    </w:p>
    <w:p w14:paraId="31178D17" w14:textId="77777777" w:rsidR="00557769" w:rsidRPr="005242F7" w:rsidRDefault="00557769" w:rsidP="001B6D02">
      <w:pPr>
        <w:numPr>
          <w:ilvl w:val="0"/>
          <w:numId w:val="48"/>
        </w:numPr>
        <w:spacing w:before="100" w:beforeAutospacing="1" w:after="100" w:afterAutospacing="1"/>
        <w:rPr>
          <w:rFonts w:ascii="Times New Roman" w:eastAsia="Times New Roman" w:hAnsi="Times New Roman"/>
          <w:lang w:eastAsia="de-DE"/>
        </w:rPr>
      </w:pPr>
      <w:r w:rsidRPr="005242F7">
        <w:rPr>
          <w:rFonts w:ascii="Times New Roman" w:eastAsia="Times New Roman" w:hAnsi="Times New Roman"/>
          <w:lang w:eastAsia="de-DE"/>
        </w:rPr>
        <w:t>Transsudation durch Rechtsherzversagen</w:t>
      </w:r>
    </w:p>
    <w:p w14:paraId="045EC0FB" w14:textId="77777777" w:rsidR="00557769" w:rsidRPr="005242F7" w:rsidRDefault="00557769" w:rsidP="001B6D02">
      <w:pPr>
        <w:numPr>
          <w:ilvl w:val="0"/>
          <w:numId w:val="48"/>
        </w:numPr>
        <w:spacing w:before="100" w:beforeAutospacing="1" w:after="100" w:afterAutospacing="1"/>
        <w:rPr>
          <w:rFonts w:ascii="Times New Roman" w:eastAsia="Times New Roman" w:hAnsi="Times New Roman"/>
          <w:lang w:eastAsia="de-DE"/>
        </w:rPr>
      </w:pPr>
      <w:r w:rsidRPr="005242F7">
        <w:rPr>
          <w:rFonts w:ascii="Times New Roman" w:eastAsia="Times New Roman" w:hAnsi="Times New Roman"/>
          <w:lang w:eastAsia="de-DE"/>
        </w:rPr>
        <w:t>Zusätzliche traumatische Blutung</w:t>
      </w:r>
    </w:p>
    <w:p w14:paraId="404E1A3F" w14:textId="77777777" w:rsidR="00557769" w:rsidRPr="005242F7" w:rsidRDefault="00557769" w:rsidP="001B6D02">
      <w:pPr>
        <w:numPr>
          <w:ilvl w:val="0"/>
          <w:numId w:val="48"/>
        </w:numPr>
        <w:spacing w:before="100" w:beforeAutospacing="1" w:after="100" w:afterAutospacing="1"/>
        <w:rPr>
          <w:rFonts w:ascii="Times New Roman" w:eastAsia="Times New Roman" w:hAnsi="Times New Roman"/>
          <w:lang w:eastAsia="de-DE"/>
        </w:rPr>
      </w:pPr>
      <w:r w:rsidRPr="005242F7">
        <w:rPr>
          <w:rFonts w:ascii="Times New Roman" w:eastAsia="Times New Roman" w:hAnsi="Times New Roman"/>
          <w:lang w:eastAsia="de-DE"/>
        </w:rPr>
        <w:t>Schichtung der Komponenten</w:t>
      </w:r>
    </w:p>
    <w:p w14:paraId="0D1A0137" w14:textId="77777777" w:rsidR="00557769" w:rsidRDefault="00557769" w:rsidP="00557769">
      <w:pPr>
        <w:pStyle w:val="whitespace-pre-wrap"/>
      </w:pPr>
      <w:r>
        <w:t>Die separate Beobachtung von "Blut und Wasser" bestätigt den bereits eingetretenen Tod, da diese Trennung nur post mortem möglich ist. Der Speerstich diente der Todesfeststellung und war gleichzeitig tödlich, falls noch Restlebenszeichen bestanden hätten.</w:t>
      </w:r>
    </w:p>
    <w:p w14:paraId="730757E2" w14:textId="77777777" w:rsidR="00507F79" w:rsidRDefault="00507F79" w:rsidP="00557769">
      <w:pPr>
        <w:pStyle w:val="whitespace-pre-wrap"/>
      </w:pPr>
      <w:r>
        <w:t>Der menschliche Körper reagiert auf massiven Blutverlust und Trauma mit einer komplexen Kaskade physiologischer Anpassungen. Im Fall der Kreuzigung Jesu lässt sich der Verlauf des Blutvolumens und seiner Zusammensetzung präzise nachvollziehen.</w:t>
      </w:r>
    </w:p>
    <w:p w14:paraId="29DEFBA6" w14:textId="77777777" w:rsidR="00507F79" w:rsidRDefault="00507F79" w:rsidP="00507F79">
      <w:pPr>
        <w:pStyle w:val="whitespace-pre-wrap"/>
      </w:pPr>
      <w:r>
        <w:t xml:space="preserve">Das normale Blutvolumen eines erwachsenen Mannes von etwa 5 Litern wurde bereits vor der eigentlichen Kreuzigung durch die Geißelung drastisch reduziert. Die brutale römische Flagellation mit bleibeschlagenen Lederriemen verursachte tiefe </w:t>
      </w:r>
      <w:r>
        <w:lastRenderedPageBreak/>
        <w:t>Gewebeverletzungen mit einem Blutverlust von mindestens 0,5-1 Liter. Die Dornenkrone fügte durch ihre zahlreichen Punktionen der stark durchbluteten Kopfhaut weitere 100ml Blutverlust hinzu.</w:t>
      </w:r>
    </w:p>
    <w:p w14:paraId="62776BAD" w14:textId="77777777" w:rsidR="00507F79" w:rsidRDefault="00507F79" w:rsidP="00507F79">
      <w:pPr>
        <w:pStyle w:val="whitespace-pre-wrap"/>
      </w:pPr>
      <w:r>
        <w:t>Die Nagelung an Händen und Füßen bewirkte nicht nur einen unmittelbaren Blutverlust von etwa 200ml, sondern schuf auch kontinuierlich blutende Wunden. Die andauernde kapillare Sickerung von rund 300ml pro Stunde führte zu einer progressiven Hypovolämie. Nach sechs Stunden am Kreuz war das zirkulierende Blutvolumen auf unter die Hälfte des Normalwertes gesunken.</w:t>
      </w:r>
    </w:p>
    <w:p w14:paraId="613EEE71" w14:textId="77777777" w:rsidR="00507F79" w:rsidRDefault="00507F79" w:rsidP="00507F79">
      <w:pPr>
        <w:pStyle w:val="whitespace-pre-wrap"/>
      </w:pPr>
      <w:r>
        <w:t>Diese massive Reduktion des Blutvolumens löste Kompensationsmechanismen aus: Das verbliebene Blut wurde durch Flüssigkeitsverlust über Schweiß und Atmung zunehmend eingedickt, der Hämatokrit stieg deutlich an. Das verbleibende Blut sammelte sich durch die Schwerkraft und den präfinalen Kreislaufschock vorwiegend in den großen Gefäßen und Organen.</w:t>
      </w:r>
    </w:p>
    <w:p w14:paraId="476EB712" w14:textId="77777777" w:rsidR="00507F79" w:rsidRDefault="00507F79" w:rsidP="00507F79">
      <w:pPr>
        <w:pStyle w:val="whitespace-pre-wrap"/>
      </w:pPr>
      <w:r>
        <w:t>Als der Speer des römischen Soldaten die Seite Jesu durchbohrte, traf er auf bereits post mortal verändertes Blut. Die Separation der Blutkomponenten hatte eingesetzt, Serum und zelluläre Bestandteile hatten sich getrennt. Zusätzlich hatte sich durch das Herzversagen eine Herzbeuteltamponade gebildet, während der Schockzustand zu einem Pleuraerguss führte.</w:t>
      </w:r>
    </w:p>
    <w:p w14:paraId="5A39BBE3" w14:textId="77777777" w:rsidR="00FD4BA5" w:rsidRDefault="00FD4BA5" w:rsidP="00507F79">
      <w:pPr>
        <w:pStyle w:val="whitespace-pre-wrap"/>
      </w:pPr>
      <w:r w:rsidRPr="00FD4BA5">
        <w:rPr>
          <w:noProof/>
        </w:rPr>
        <w:lastRenderedPageBreak/>
        <w:drawing>
          <wp:inline distT="0" distB="0" distL="0" distR="0" wp14:anchorId="6FD22456" wp14:editId="0C1AF10B">
            <wp:extent cx="4166315" cy="3035808"/>
            <wp:effectExtent l="0" t="0" r="571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74987" cy="3042127"/>
                    </a:xfrm>
                    <a:prstGeom prst="rect">
                      <a:avLst/>
                    </a:prstGeom>
                  </pic:spPr>
                </pic:pic>
              </a:graphicData>
            </a:graphic>
          </wp:inline>
        </w:drawing>
      </w:r>
    </w:p>
    <w:p w14:paraId="7094D10D" w14:textId="77777777" w:rsidR="00FD4BA5" w:rsidRPr="00FD4BA5" w:rsidRDefault="00FD4BA5" w:rsidP="00FD4BA5">
      <w:p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Die technische Darstellung zeigt:</w:t>
      </w:r>
    </w:p>
    <w:p w14:paraId="5708CFDB" w14:textId="77777777" w:rsidR="00FD4BA5" w:rsidRPr="00FD4BA5" w:rsidRDefault="00FD4BA5" w:rsidP="00714222">
      <w:pPr>
        <w:numPr>
          <w:ilvl w:val="0"/>
          <w:numId w:val="167"/>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Anatomische Lokalisation der Traumata:</w:t>
      </w:r>
    </w:p>
    <w:p w14:paraId="15AD7865" w14:textId="77777777" w:rsidR="00FD4BA5" w:rsidRPr="00FD4BA5" w:rsidRDefault="00FD4BA5" w:rsidP="00714222">
      <w:pPr>
        <w:numPr>
          <w:ilvl w:val="0"/>
          <w:numId w:val="168"/>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Thoraxbereich mit Kapazitätsverlust</w:t>
      </w:r>
    </w:p>
    <w:p w14:paraId="31E74B3F" w14:textId="77777777" w:rsidR="00FD4BA5" w:rsidRPr="00FD4BA5" w:rsidRDefault="00FD4BA5" w:rsidP="00714222">
      <w:pPr>
        <w:numPr>
          <w:ilvl w:val="0"/>
          <w:numId w:val="168"/>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Crucifragium an den unteren Extremitäten</w:t>
      </w:r>
    </w:p>
    <w:p w14:paraId="1E6CF901" w14:textId="77777777" w:rsidR="00FD4BA5" w:rsidRPr="00FD4BA5" w:rsidRDefault="00FD4BA5" w:rsidP="00714222">
      <w:pPr>
        <w:numPr>
          <w:ilvl w:val="0"/>
          <w:numId w:val="168"/>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Gefäßverletzungen mit Blutverlustraten</w:t>
      </w:r>
    </w:p>
    <w:p w14:paraId="272744FB" w14:textId="77777777" w:rsidR="00FD4BA5" w:rsidRPr="00FD4BA5" w:rsidRDefault="00FD4BA5" w:rsidP="00714222">
      <w:pPr>
        <w:numPr>
          <w:ilvl w:val="0"/>
          <w:numId w:val="168"/>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Infektionsareale mit Nekroseentwicklung</w:t>
      </w:r>
    </w:p>
    <w:p w14:paraId="55DF9E71" w14:textId="77777777" w:rsidR="00FD4BA5" w:rsidRPr="00FD4BA5" w:rsidRDefault="00FD4BA5" w:rsidP="00714222">
      <w:pPr>
        <w:numPr>
          <w:ilvl w:val="0"/>
          <w:numId w:val="169"/>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Zeitliche Dimension:</w:t>
      </w:r>
    </w:p>
    <w:p w14:paraId="53337D9F" w14:textId="77777777" w:rsidR="00FD4BA5" w:rsidRPr="00FD4BA5" w:rsidRDefault="00FD4BA5" w:rsidP="00714222">
      <w:pPr>
        <w:numPr>
          <w:ilvl w:val="0"/>
          <w:numId w:val="170"/>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Entwicklung über 15 Minuten</w:t>
      </w:r>
    </w:p>
    <w:p w14:paraId="175C15DB" w14:textId="77777777" w:rsidR="00FD4BA5" w:rsidRPr="00FD4BA5" w:rsidRDefault="00FD4BA5" w:rsidP="00714222">
      <w:pPr>
        <w:numPr>
          <w:ilvl w:val="0"/>
          <w:numId w:val="170"/>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Kritische Interventionspunkte</w:t>
      </w:r>
    </w:p>
    <w:p w14:paraId="11D2CCD0" w14:textId="77777777" w:rsidR="00FD4BA5" w:rsidRPr="00FD4BA5" w:rsidRDefault="00FD4BA5" w:rsidP="00714222">
      <w:pPr>
        <w:numPr>
          <w:ilvl w:val="0"/>
          <w:numId w:val="170"/>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Progression der Systemdekompensation</w:t>
      </w:r>
    </w:p>
    <w:p w14:paraId="5CF03067" w14:textId="77777777" w:rsidR="00FD4BA5" w:rsidRPr="00FD4BA5" w:rsidRDefault="00FD4BA5" w:rsidP="00714222">
      <w:pPr>
        <w:numPr>
          <w:ilvl w:val="0"/>
          <w:numId w:val="171"/>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Quantitative Angaben:</w:t>
      </w:r>
    </w:p>
    <w:p w14:paraId="37B1A8D6" w14:textId="77777777" w:rsidR="00FD4BA5" w:rsidRPr="00FD4BA5" w:rsidRDefault="00FD4BA5" w:rsidP="00714222">
      <w:pPr>
        <w:numPr>
          <w:ilvl w:val="0"/>
          <w:numId w:val="172"/>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lastRenderedPageBreak/>
        <w:t>Krafteinwirkung beim Crucifragium</w:t>
      </w:r>
    </w:p>
    <w:p w14:paraId="3E03B933" w14:textId="77777777" w:rsidR="00FD4BA5" w:rsidRPr="00FD4BA5" w:rsidRDefault="00FD4BA5" w:rsidP="00714222">
      <w:pPr>
        <w:numPr>
          <w:ilvl w:val="0"/>
          <w:numId w:val="172"/>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Blutverlustrate</w:t>
      </w:r>
    </w:p>
    <w:p w14:paraId="476E8053" w14:textId="77777777" w:rsidR="00FD4BA5" w:rsidRPr="00FD4BA5" w:rsidRDefault="00FD4BA5" w:rsidP="00714222">
      <w:pPr>
        <w:numPr>
          <w:ilvl w:val="0"/>
          <w:numId w:val="172"/>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Nekrosearealgrößen</w:t>
      </w:r>
    </w:p>
    <w:p w14:paraId="61253B85" w14:textId="77777777" w:rsidR="00FD4BA5" w:rsidRPr="00FD4BA5" w:rsidRDefault="00FD4BA5" w:rsidP="00714222">
      <w:pPr>
        <w:numPr>
          <w:ilvl w:val="0"/>
          <w:numId w:val="172"/>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Zeitfenster bis zum Organversagen</w:t>
      </w:r>
    </w:p>
    <w:p w14:paraId="3D5DCA19" w14:textId="77777777" w:rsidR="00507F79" w:rsidRDefault="00507F79" w:rsidP="00507F79">
      <w:pPr>
        <w:pStyle w:val="whitespace-pre-wrap"/>
      </w:pPr>
      <w:r>
        <w:t>Diese pathophysiologischen Veränderungen erklären präzise die im Johannesevangelium beschriebene Beobachtung des Austritts von "Blut und Wasser". Die medizinische Exaktheit dieser Beschreibung ist besonders bemerkenswert, da dieses Phänomen der Separation erst Jahrhunderte später wissenschaftlich verstanden wurde.</w:t>
      </w:r>
    </w:p>
    <w:p w14:paraId="3614977E" w14:textId="77777777" w:rsidR="00141719" w:rsidRPr="00141719" w:rsidRDefault="00141719" w:rsidP="005242F7">
      <w:pPr>
        <w:pStyle w:val="berschrift1"/>
        <w:rPr>
          <w:rFonts w:eastAsia="Times New Roman"/>
          <w:lang w:eastAsia="de-DE"/>
        </w:rPr>
      </w:pPr>
      <w:r w:rsidRPr="00141719">
        <w:rPr>
          <w:rFonts w:eastAsia="Times New Roman"/>
          <w:lang w:eastAsia="de-DE"/>
        </w:rPr>
        <w:t>5. Physikalische Berechnungen</w:t>
      </w:r>
    </w:p>
    <w:p w14:paraId="23EE6ECB" w14:textId="77777777" w:rsidR="00CD417B" w:rsidRPr="00CD417B" w:rsidRDefault="00CD417B" w:rsidP="005242F7">
      <w:pPr>
        <w:pStyle w:val="berschrift2"/>
        <w:rPr>
          <w:rFonts w:eastAsia="Times New Roman"/>
          <w:lang w:eastAsia="de-DE"/>
        </w:rPr>
      </w:pPr>
      <w:r w:rsidRPr="00CD417B">
        <w:rPr>
          <w:rFonts w:eastAsia="Times New Roman"/>
          <w:lang w:eastAsia="de-DE"/>
        </w:rPr>
        <w:t>5.1 Die Finsternis bei der Kreuzigung</w:t>
      </w:r>
    </w:p>
    <w:p w14:paraId="79DE6568" w14:textId="77777777" w:rsidR="00CD417B" w:rsidRPr="00CD417B" w:rsidRDefault="00CD417B" w:rsidP="005242F7">
      <w:pPr>
        <w:pStyle w:val="berschrift3"/>
        <w:rPr>
          <w:rFonts w:eastAsia="Times New Roman"/>
          <w:lang w:eastAsia="de-DE"/>
        </w:rPr>
      </w:pPr>
      <w:r w:rsidRPr="00CD417B">
        <w:rPr>
          <w:rFonts w:eastAsia="Times New Roman"/>
          <w:lang w:eastAsia="de-DE"/>
        </w:rPr>
        <w:t>5.1.1 Historische Quellenlage</w:t>
      </w:r>
    </w:p>
    <w:p w14:paraId="129CA3C7"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b/>
          <w:bCs/>
          <w:lang w:eastAsia="de-DE"/>
        </w:rPr>
        <w:t>Biblische Quellen:</w:t>
      </w:r>
    </w:p>
    <w:p w14:paraId="050809AA" w14:textId="77777777" w:rsidR="00CD417B" w:rsidRPr="00CD417B" w:rsidRDefault="00CD417B" w:rsidP="001B6D02">
      <w:pPr>
        <w:numPr>
          <w:ilvl w:val="0"/>
          <w:numId w:val="106"/>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Matthäus 27,45: "Von der sechsten Stunde an kam eine Finsternis über das ganze Land bis zur neunten Stunde"</w:t>
      </w:r>
    </w:p>
    <w:p w14:paraId="2C8750A1" w14:textId="77777777" w:rsidR="00CD417B" w:rsidRPr="00CD417B" w:rsidRDefault="00CD417B" w:rsidP="001B6D02">
      <w:pPr>
        <w:numPr>
          <w:ilvl w:val="0"/>
          <w:numId w:val="106"/>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Markus 15,33: "Und bei der sechsten Stunde kam eine Finsternis über das ganze Land bis zur neunten Stunde"</w:t>
      </w:r>
    </w:p>
    <w:p w14:paraId="4134E20E" w14:textId="77777777" w:rsidR="00CD417B" w:rsidRPr="00CD417B" w:rsidRDefault="00CD417B" w:rsidP="001B6D02">
      <w:pPr>
        <w:numPr>
          <w:ilvl w:val="0"/>
          <w:numId w:val="106"/>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Lukas 23,44-45: "Und es war schon um die sechste Stunde, und es kam eine Finsternis über das ganze Land bis zur neunten Stunde"</w:t>
      </w:r>
    </w:p>
    <w:p w14:paraId="707E5FAD"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b/>
          <w:bCs/>
          <w:lang w:eastAsia="de-DE"/>
        </w:rPr>
        <w:t>Außerbiblische Quellen:</w:t>
      </w:r>
    </w:p>
    <w:p w14:paraId="02FC3F88" w14:textId="77777777" w:rsidR="00CD417B" w:rsidRPr="00C33C92" w:rsidRDefault="00CD417B" w:rsidP="00C33C92">
      <w:pPr>
        <w:pStyle w:val="Listenabsatz"/>
        <w:numPr>
          <w:ilvl w:val="0"/>
          <w:numId w:val="68"/>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Thallus (52 n.Chr.): "Eine unerklärliche Finsternis bedeckte die Erde zur Mittagszeit"</w:t>
      </w:r>
    </w:p>
    <w:p w14:paraId="4A8863A1" w14:textId="77777777" w:rsidR="00CD417B" w:rsidRPr="00C33C92" w:rsidRDefault="00CD417B" w:rsidP="00C33C92">
      <w:pPr>
        <w:pStyle w:val="Listenabsatz"/>
        <w:numPr>
          <w:ilvl w:val="0"/>
          <w:numId w:val="68"/>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lastRenderedPageBreak/>
        <w:t>Phlegon von Tralles: "Im vierten Jahr der 202. Olympiade ereignete sich eine große Sonnenfinsternis [...] zur sechsten Stunde wurde der Tag zur dunklen Nacht"</w:t>
      </w:r>
    </w:p>
    <w:p w14:paraId="7B8F334B" w14:textId="77777777" w:rsidR="00C33C92" w:rsidRPr="00C33C92" w:rsidRDefault="00CD417B" w:rsidP="00C33C92">
      <w:pPr>
        <w:pStyle w:val="Listenabsatz"/>
        <w:numPr>
          <w:ilvl w:val="0"/>
          <w:numId w:val="68"/>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Chinesische Han-Chroniken: "Im Frühling des Jahres [...] gab es eine Sonnenfinsternis, der Tag wurde dunkel wie die Nacht"</w:t>
      </w:r>
    </w:p>
    <w:p w14:paraId="0D30C789" w14:textId="77777777" w:rsidR="00CD417B" w:rsidRPr="00C33C92" w:rsidRDefault="00CD417B" w:rsidP="00C33C92">
      <w:pPr>
        <w:pStyle w:val="Listenabsatz"/>
        <w:numPr>
          <w:ilvl w:val="0"/>
          <w:numId w:val="68"/>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Tertullian: "Im selben Moment verschwand das Tageslicht, obwohl die Sonne Mittagshöhe zeigte"</w:t>
      </w:r>
    </w:p>
    <w:p w14:paraId="14404C59" w14:textId="77777777" w:rsidR="0030492E" w:rsidRPr="00C33C92" w:rsidRDefault="0030492E" w:rsidP="00C33C92">
      <w:pPr>
        <w:pStyle w:val="Listenabsatz"/>
        <w:numPr>
          <w:ilvl w:val="0"/>
          <w:numId w:val="68"/>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Der Brief an den Senat (via Tertullian, Apologeticum 21,24): "Nam et universam mundi passionem cum illo in die media orbis signo conscidit [...] ea omnia super Christo Pilatus, et ipse iam pro sua conscientia Christianus, Caesari tum Tiberio nuntiavit."</w:t>
      </w:r>
      <w:r w:rsidR="00C33C92" w:rsidRPr="00C33C92">
        <w:rPr>
          <w:rFonts w:ascii="Times New Roman" w:eastAsia="Times New Roman" w:hAnsi="Times New Roman"/>
          <w:lang w:eastAsia="de-DE"/>
        </w:rPr>
        <w:t xml:space="preserve"> </w:t>
      </w:r>
      <w:r w:rsidR="00C33C92" w:rsidRPr="00C33C92">
        <w:rPr>
          <w:rFonts w:ascii="Times New Roman" w:eastAsia="Times New Roman" w:hAnsi="Times New Roman"/>
          <w:lang w:eastAsia="de-DE"/>
        </w:rPr>
        <w:br/>
      </w:r>
      <w:r w:rsidRPr="00C33C92">
        <w:rPr>
          <w:rFonts w:ascii="Times New Roman" w:eastAsia="Times New Roman" w:hAnsi="Times New Roman"/>
          <w:lang w:eastAsia="de-DE"/>
        </w:rPr>
        <w:t>"Denn auch das Leiden der ganzen Welt wurde durch jenes Zeichen am Mittag des Erdkreises unterbrochen [...] all dies über Christus berichtete Pilatus, selbst schon in seinem Gewissen ein Christ, dem damaligen Kaiser Tiberius."</w:t>
      </w:r>
    </w:p>
    <w:p w14:paraId="045786CB" w14:textId="77777777" w:rsidR="0030492E" w:rsidRPr="00C33C92" w:rsidRDefault="0030492E" w:rsidP="00C33C92">
      <w:pPr>
        <w:pStyle w:val="Listenabsatz"/>
        <w:numPr>
          <w:ilvl w:val="0"/>
          <w:numId w:val="68"/>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Eusebius (Historia Ecclesiastica 2.2.1-2): "Als die wunderbare Auferstehung und Himmelfahrt unseres Erlösers bereits in aller Munde war, berichtete Pilatus nach alter Gewohnheit dem Kaiser über all diese Ereignisse [...] auch über seine Wunder und dass viele ihn nach seiner Auferstehung von den Toten für einen Gott hielten."</w:t>
      </w:r>
    </w:p>
    <w:p w14:paraId="52DDDACE" w14:textId="77777777" w:rsidR="0030492E" w:rsidRPr="00C33C92" w:rsidRDefault="0030492E" w:rsidP="00C33C92">
      <w:pPr>
        <w:pStyle w:val="Listenabsatz"/>
        <w:numPr>
          <w:ilvl w:val="0"/>
          <w:numId w:val="68"/>
        </w:numPr>
        <w:spacing w:before="100" w:beforeAutospacing="1" w:after="100" w:afterAutospacing="1"/>
        <w:rPr>
          <w:rFonts w:ascii="Times New Roman" w:eastAsia="Times New Roman" w:hAnsi="Times New Roman"/>
          <w:lang w:eastAsia="de-DE"/>
        </w:rPr>
      </w:pPr>
      <w:r w:rsidRPr="00C33C92">
        <w:rPr>
          <w:rFonts w:ascii="Times New Roman" w:eastAsia="Times New Roman" w:hAnsi="Times New Roman"/>
          <w:lang w:eastAsia="de-DE"/>
        </w:rPr>
        <w:t>Acta Pilati (frühe Version): "Et subito sol obscuratus est, et tenebrae factae sunt super universam terram [...] et retulit praeses omnia illa Caesari." "Und plötzlich wurde die Sonne verfinstert, und Finsternis kam über die ganze Erde [...] und der Statthalter berichtete all dies dem Kaiser."</w:t>
      </w:r>
    </w:p>
    <w:p w14:paraId="4B1B3EA1" w14:textId="77777777" w:rsidR="00CD417B" w:rsidRPr="00CD417B" w:rsidRDefault="465B05CD" w:rsidP="465B05CD">
      <w:pPr>
        <w:pStyle w:val="berschrift3"/>
        <w:rPr>
          <w:rFonts w:ascii="Times New Roman" w:eastAsia="Times New Roman" w:hAnsi="Times New Roman"/>
          <w:sz w:val="27"/>
          <w:szCs w:val="27"/>
          <w:lang w:eastAsia="de-DE"/>
        </w:rPr>
      </w:pPr>
      <w:r>
        <w:t>5.1.2 Astronomische Analyse</w:t>
      </w:r>
    </w:p>
    <w:p w14:paraId="5BD05F75"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b/>
          <w:bCs/>
          <w:lang w:eastAsia="de-DE"/>
        </w:rPr>
        <w:t>Besondere Merkmale:</w:t>
      </w:r>
    </w:p>
    <w:p w14:paraId="3150617C" w14:textId="77777777" w:rsidR="00CD417B" w:rsidRPr="00CD417B" w:rsidRDefault="00CD417B" w:rsidP="00714222">
      <w:pPr>
        <w:numPr>
          <w:ilvl w:val="0"/>
          <w:numId w:val="107"/>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Zeitpunkt: Während des Vollmonds (Passahfest)</w:t>
      </w:r>
    </w:p>
    <w:p w14:paraId="149E11DB" w14:textId="77777777" w:rsidR="00CD417B" w:rsidRPr="00CD417B" w:rsidRDefault="00CD417B" w:rsidP="00714222">
      <w:pPr>
        <w:numPr>
          <w:ilvl w:val="0"/>
          <w:numId w:val="107"/>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lastRenderedPageBreak/>
        <w:t>Dauer: Drei Stunden (normale Sonnenfinsternis max. 7,5 Minuten)</w:t>
      </w:r>
    </w:p>
    <w:p w14:paraId="6E6B3CFA" w14:textId="77777777" w:rsidR="00CD417B" w:rsidRPr="00CD417B" w:rsidRDefault="00CD417B" w:rsidP="00714222">
      <w:pPr>
        <w:numPr>
          <w:ilvl w:val="0"/>
          <w:numId w:val="107"/>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Tageszeitpunkt: Mittag bis 15 Uhr</w:t>
      </w:r>
    </w:p>
    <w:p w14:paraId="43489CEF" w14:textId="77777777" w:rsidR="00CD417B" w:rsidRPr="00CD417B" w:rsidRDefault="00CD417B" w:rsidP="00714222">
      <w:pPr>
        <w:numPr>
          <w:ilvl w:val="0"/>
          <w:numId w:val="107"/>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Geografische Ausdehnung: Überregional dokumentiert</w:t>
      </w:r>
    </w:p>
    <w:p w14:paraId="1BFCA7F2"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b/>
          <w:bCs/>
          <w:lang w:eastAsia="de-DE"/>
        </w:rPr>
        <w:t>Astronomische Unmöglichkeiten:</w:t>
      </w:r>
    </w:p>
    <w:p w14:paraId="7C2762E5" w14:textId="77777777" w:rsidR="00CD417B" w:rsidRPr="00CD417B" w:rsidRDefault="00CD417B" w:rsidP="00714222">
      <w:pPr>
        <w:numPr>
          <w:ilvl w:val="0"/>
          <w:numId w:val="108"/>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Sonnenfinsternis während Vollmond physikalisch unmöglich</w:t>
      </w:r>
    </w:p>
    <w:p w14:paraId="5D4CA094" w14:textId="77777777" w:rsidR="00CD417B" w:rsidRPr="00CD417B" w:rsidRDefault="00CD417B" w:rsidP="00714222">
      <w:pPr>
        <w:numPr>
          <w:ilvl w:val="0"/>
          <w:numId w:val="108"/>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Dauer übersteigt maximale Finsternisdauer um das 24-fache</w:t>
      </w:r>
    </w:p>
    <w:p w14:paraId="0A3D1BCF" w14:textId="77777777" w:rsidR="00CD417B" w:rsidRPr="00CD417B" w:rsidRDefault="00CD417B" w:rsidP="00714222">
      <w:pPr>
        <w:numPr>
          <w:ilvl w:val="0"/>
          <w:numId w:val="108"/>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Berichte aus verschiedenen geografischen Regionen</w:t>
      </w:r>
    </w:p>
    <w:p w14:paraId="6C4049B9" w14:textId="77777777" w:rsidR="00CD417B" w:rsidRPr="00CD417B" w:rsidRDefault="00CD417B" w:rsidP="005242F7">
      <w:pPr>
        <w:pStyle w:val="berschrift3"/>
        <w:rPr>
          <w:rFonts w:eastAsia="Times New Roman"/>
          <w:lang w:eastAsia="de-DE"/>
        </w:rPr>
      </w:pPr>
      <w:r w:rsidRPr="00CD417B">
        <w:rPr>
          <w:rFonts w:eastAsia="Times New Roman"/>
          <w:lang w:eastAsia="de-DE"/>
        </w:rPr>
        <w:t>5.1.3 Physikalische Parameter</w:t>
      </w:r>
    </w:p>
    <w:p w14:paraId="2CE92A3D"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b/>
          <w:bCs/>
          <w:lang w:eastAsia="de-DE"/>
        </w:rPr>
        <w:t>Atmosphärische Bedingungen:</w:t>
      </w:r>
    </w:p>
    <w:p w14:paraId="7F4F11E0" w14:textId="77777777" w:rsidR="00CD417B" w:rsidRPr="00CD417B" w:rsidRDefault="00CD417B" w:rsidP="00714222">
      <w:pPr>
        <w:numPr>
          <w:ilvl w:val="0"/>
          <w:numId w:val="109"/>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Temperaturabfall: ~10,3°C</w:t>
      </w:r>
    </w:p>
    <w:p w14:paraId="560CF595" w14:textId="77777777" w:rsidR="00CD417B" w:rsidRPr="00CD417B" w:rsidRDefault="00CD417B" w:rsidP="00714222">
      <w:pPr>
        <w:numPr>
          <w:ilvl w:val="0"/>
          <w:numId w:val="109"/>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Windgeschwindigkeit: 0,29-2 m/s</w:t>
      </w:r>
    </w:p>
    <w:p w14:paraId="3AB27045" w14:textId="77777777" w:rsidR="00CD417B" w:rsidRPr="00CD417B" w:rsidRDefault="00CD417B" w:rsidP="00714222">
      <w:pPr>
        <w:numPr>
          <w:ilvl w:val="0"/>
          <w:numId w:val="109"/>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Energieverlust: ~600 W/m²</w:t>
      </w:r>
    </w:p>
    <w:p w14:paraId="1FDFF828" w14:textId="77777777" w:rsidR="00CD417B" w:rsidRPr="00CD417B" w:rsidRDefault="00CD417B" w:rsidP="005242F7">
      <w:pPr>
        <w:pStyle w:val="berschrift3"/>
        <w:rPr>
          <w:rFonts w:eastAsia="Times New Roman"/>
          <w:lang w:eastAsia="de-DE"/>
        </w:rPr>
      </w:pPr>
      <w:r w:rsidRPr="00CD417B">
        <w:rPr>
          <w:rFonts w:eastAsia="Times New Roman"/>
          <w:lang w:eastAsia="de-DE"/>
        </w:rPr>
        <w:t>5.1.4 Vergleichende Analyse</w:t>
      </w:r>
    </w:p>
    <w:p w14:paraId="3B95B86E"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b/>
          <w:bCs/>
          <w:lang w:eastAsia="de-DE"/>
        </w:rPr>
        <w:t>Dokumentierte Phänomene:</w:t>
      </w:r>
    </w:p>
    <w:p w14:paraId="211E8C0E" w14:textId="77777777" w:rsidR="00CD417B" w:rsidRPr="00CD417B" w:rsidRDefault="00CD417B" w:rsidP="00714222">
      <w:pPr>
        <w:numPr>
          <w:ilvl w:val="0"/>
          <w:numId w:val="110"/>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Dionysius Areopagita berichtet von ungewöhnlicher Mondbewegung</w:t>
      </w:r>
    </w:p>
    <w:p w14:paraId="5F7D3C60" w14:textId="77777777" w:rsidR="00CD417B" w:rsidRPr="00CD417B" w:rsidRDefault="00CD417B" w:rsidP="00714222">
      <w:pPr>
        <w:numPr>
          <w:ilvl w:val="0"/>
          <w:numId w:val="110"/>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Julius Africanus beschreibt begleitende seismische Aktivität</w:t>
      </w:r>
    </w:p>
    <w:p w14:paraId="03D954D0" w14:textId="77777777" w:rsidR="00CD417B" w:rsidRPr="00CD417B" w:rsidRDefault="00CD417B" w:rsidP="00714222">
      <w:pPr>
        <w:numPr>
          <w:ilvl w:val="0"/>
          <w:numId w:val="110"/>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Cyrillus von Jerusalem verweist auf bleibende Zeugnisse</w:t>
      </w:r>
    </w:p>
    <w:p w14:paraId="77D82B71" w14:textId="77777777" w:rsidR="00CD417B" w:rsidRPr="00CD417B" w:rsidRDefault="00CD417B" w:rsidP="00714222">
      <w:pPr>
        <w:numPr>
          <w:ilvl w:val="0"/>
          <w:numId w:val="110"/>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Evangelium Petri erwähnt Panik in der Bevölkerung</w:t>
      </w:r>
    </w:p>
    <w:p w14:paraId="5D600B7A"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b/>
          <w:bCs/>
          <w:lang w:eastAsia="de-DE"/>
        </w:rPr>
        <w:t>Wissenschaftliche Erklärungsversuche:</w:t>
      </w:r>
    </w:p>
    <w:p w14:paraId="11E544B4" w14:textId="77777777" w:rsidR="00CD417B" w:rsidRPr="00CD417B" w:rsidRDefault="00CD417B" w:rsidP="00714222">
      <w:pPr>
        <w:numPr>
          <w:ilvl w:val="0"/>
          <w:numId w:val="111"/>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Sandstürme/Staubwolken: Widerspricht geografischer Ausdehnung</w:t>
      </w:r>
    </w:p>
    <w:p w14:paraId="37278479" w14:textId="77777777" w:rsidR="00CD417B" w:rsidRPr="00CD417B" w:rsidRDefault="00CD417B" w:rsidP="00714222">
      <w:pPr>
        <w:numPr>
          <w:ilvl w:val="0"/>
          <w:numId w:val="111"/>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Vulkanische Aktivität: Keine geologischen Belege</w:t>
      </w:r>
    </w:p>
    <w:p w14:paraId="7C25D25A" w14:textId="77777777" w:rsidR="00CD417B" w:rsidRPr="00CD417B" w:rsidRDefault="00CD417B" w:rsidP="00714222">
      <w:pPr>
        <w:numPr>
          <w:ilvl w:val="0"/>
          <w:numId w:val="111"/>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lastRenderedPageBreak/>
        <w:t>Atmosphärische Anomalie: Erklärt nicht alle Phänomene</w:t>
      </w:r>
    </w:p>
    <w:p w14:paraId="7C6F8C74" w14:textId="77777777" w:rsidR="00CD417B" w:rsidRPr="00CD417B" w:rsidRDefault="00CD417B" w:rsidP="00714222">
      <w:pPr>
        <w:numPr>
          <w:ilvl w:val="0"/>
          <w:numId w:val="111"/>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Astronomisches Ereignis: Kollidiert mit bekannten Naturgesetzen</w:t>
      </w:r>
    </w:p>
    <w:p w14:paraId="493E9680" w14:textId="77777777" w:rsidR="00CD417B" w:rsidRPr="00CD417B" w:rsidRDefault="00CD417B" w:rsidP="005242F7">
      <w:pPr>
        <w:pStyle w:val="berschrift3"/>
        <w:rPr>
          <w:rFonts w:eastAsia="Times New Roman"/>
          <w:lang w:eastAsia="de-DE"/>
        </w:rPr>
      </w:pPr>
      <w:r w:rsidRPr="00CD417B">
        <w:rPr>
          <w:rFonts w:eastAsia="Times New Roman"/>
          <w:lang w:eastAsia="de-DE"/>
        </w:rPr>
        <w:t>5.1.5 Historische Implikationen</w:t>
      </w:r>
    </w:p>
    <w:p w14:paraId="4C3EFB87"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b/>
          <w:bCs/>
          <w:lang w:eastAsia="de-DE"/>
        </w:rPr>
        <w:t>Dokumentationsmuster:</w:t>
      </w:r>
    </w:p>
    <w:p w14:paraId="6E3546F4" w14:textId="77777777" w:rsidR="00CD417B" w:rsidRPr="00CD417B" w:rsidRDefault="00CD417B" w:rsidP="00714222">
      <w:pPr>
        <w:numPr>
          <w:ilvl w:val="0"/>
          <w:numId w:val="112"/>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Übereinstimmende Zeitangaben</w:t>
      </w:r>
    </w:p>
    <w:p w14:paraId="0A47E92A" w14:textId="77777777" w:rsidR="00CD417B" w:rsidRPr="00CD417B" w:rsidRDefault="00CD417B" w:rsidP="00714222">
      <w:pPr>
        <w:numPr>
          <w:ilvl w:val="0"/>
          <w:numId w:val="112"/>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Kulturübergreifende Berichte</w:t>
      </w:r>
    </w:p>
    <w:p w14:paraId="0C489155" w14:textId="77777777" w:rsidR="00CD417B" w:rsidRPr="00CD417B" w:rsidRDefault="00CD417B" w:rsidP="00714222">
      <w:pPr>
        <w:numPr>
          <w:ilvl w:val="0"/>
          <w:numId w:val="112"/>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Unabhängige Bestätigungen</w:t>
      </w:r>
    </w:p>
    <w:p w14:paraId="12A24041" w14:textId="77777777" w:rsidR="00CD417B" w:rsidRPr="00CD417B" w:rsidRDefault="00CD417B" w:rsidP="00714222">
      <w:pPr>
        <w:numPr>
          <w:ilvl w:val="0"/>
          <w:numId w:val="112"/>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Konsistente Beschreibungen der Phänomene</w:t>
      </w:r>
    </w:p>
    <w:p w14:paraId="3D66414C"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b/>
          <w:bCs/>
          <w:lang w:eastAsia="de-DE"/>
        </w:rPr>
        <w:t>Geschichtliche Bedeutung:</w:t>
      </w:r>
    </w:p>
    <w:p w14:paraId="54B6BC64" w14:textId="77777777" w:rsidR="00CD417B" w:rsidRPr="00CD417B" w:rsidRDefault="00CD417B" w:rsidP="00714222">
      <w:pPr>
        <w:numPr>
          <w:ilvl w:val="0"/>
          <w:numId w:val="113"/>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Einzigartigkeit des Ereignisses</w:t>
      </w:r>
    </w:p>
    <w:p w14:paraId="50EEC1EB" w14:textId="77777777" w:rsidR="00CD417B" w:rsidRPr="00CD417B" w:rsidRDefault="00CD417B" w:rsidP="00714222">
      <w:pPr>
        <w:numPr>
          <w:ilvl w:val="0"/>
          <w:numId w:val="113"/>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Überregionale Wahrnehmung</w:t>
      </w:r>
    </w:p>
    <w:p w14:paraId="4314EEE4" w14:textId="77777777" w:rsidR="00CD417B" w:rsidRPr="00CD417B" w:rsidRDefault="00CD417B" w:rsidP="00714222">
      <w:pPr>
        <w:numPr>
          <w:ilvl w:val="0"/>
          <w:numId w:val="113"/>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Langfristige Dokumentation</w:t>
      </w:r>
    </w:p>
    <w:p w14:paraId="2980618F" w14:textId="77777777" w:rsidR="00CD417B" w:rsidRDefault="00CD417B" w:rsidP="00714222">
      <w:pPr>
        <w:numPr>
          <w:ilvl w:val="0"/>
          <w:numId w:val="113"/>
        </w:num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Integration in verschiedene kulturelle Kontexte</w:t>
      </w:r>
    </w:p>
    <w:p w14:paraId="41C8F396" w14:textId="77777777" w:rsidR="00FD4BA5" w:rsidRDefault="00FD4BA5" w:rsidP="00FD4BA5">
      <w:pPr>
        <w:spacing w:before="100" w:beforeAutospacing="1" w:after="100" w:afterAutospacing="1"/>
        <w:ind w:left="720"/>
        <w:rPr>
          <w:rFonts w:ascii="Times New Roman" w:eastAsia="Times New Roman" w:hAnsi="Times New Roman"/>
          <w:lang w:eastAsia="de-DE"/>
        </w:rPr>
      </w:pPr>
      <w:r w:rsidRPr="00FD4BA5">
        <w:rPr>
          <w:rFonts w:ascii="Times New Roman" w:eastAsia="Times New Roman" w:hAnsi="Times New Roman"/>
          <w:noProof/>
          <w:lang w:eastAsia="de-DE"/>
        </w:rPr>
        <w:lastRenderedPageBreak/>
        <w:drawing>
          <wp:inline distT="0" distB="0" distL="0" distR="0" wp14:anchorId="29A9E0BB" wp14:editId="2211DF56">
            <wp:extent cx="4054312" cy="3255264"/>
            <wp:effectExtent l="0" t="0" r="3810" b="254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75030" cy="3271899"/>
                    </a:xfrm>
                    <a:prstGeom prst="rect">
                      <a:avLst/>
                    </a:prstGeom>
                  </pic:spPr>
                </pic:pic>
              </a:graphicData>
            </a:graphic>
          </wp:inline>
        </w:drawing>
      </w:r>
    </w:p>
    <w:p w14:paraId="44AC2467" w14:textId="77777777" w:rsidR="00FD4BA5" w:rsidRPr="00FD4BA5" w:rsidRDefault="00FD4BA5" w:rsidP="00FD4BA5">
      <w:p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Die technische Darstellung zeigt:</w:t>
      </w:r>
    </w:p>
    <w:p w14:paraId="7788D5A0" w14:textId="77777777" w:rsidR="00FD4BA5" w:rsidRPr="00FD4BA5" w:rsidRDefault="00FD4BA5" w:rsidP="00714222">
      <w:pPr>
        <w:numPr>
          <w:ilvl w:val="0"/>
          <w:numId w:val="161"/>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Anatomische Details:</w:t>
      </w:r>
    </w:p>
    <w:p w14:paraId="34411850" w14:textId="77777777" w:rsidR="00FD4BA5" w:rsidRPr="00FD4BA5" w:rsidRDefault="00FD4BA5" w:rsidP="00714222">
      <w:pPr>
        <w:numPr>
          <w:ilvl w:val="0"/>
          <w:numId w:val="162"/>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Thoraxquerschnitt mit Rippen</w:t>
      </w:r>
    </w:p>
    <w:p w14:paraId="4F0B2515" w14:textId="77777777" w:rsidR="00FD4BA5" w:rsidRPr="00FD4BA5" w:rsidRDefault="00FD4BA5" w:rsidP="00714222">
      <w:pPr>
        <w:numPr>
          <w:ilvl w:val="0"/>
          <w:numId w:val="162"/>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Herz und Perikard</w:t>
      </w:r>
    </w:p>
    <w:p w14:paraId="705557AA" w14:textId="77777777" w:rsidR="00FD4BA5" w:rsidRPr="00FD4BA5" w:rsidRDefault="00FD4BA5" w:rsidP="00714222">
      <w:pPr>
        <w:numPr>
          <w:ilvl w:val="0"/>
          <w:numId w:val="162"/>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Verlauf des Speerstichs</w:t>
      </w:r>
    </w:p>
    <w:p w14:paraId="270047CC" w14:textId="77777777" w:rsidR="00FD4BA5" w:rsidRPr="00FD4BA5" w:rsidRDefault="00FD4BA5" w:rsidP="00714222">
      <w:pPr>
        <w:numPr>
          <w:ilvl w:val="0"/>
          <w:numId w:val="163"/>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Pathophysiologische Prozesse:</w:t>
      </w:r>
    </w:p>
    <w:p w14:paraId="337D440E" w14:textId="77777777" w:rsidR="00FD4BA5" w:rsidRPr="00FD4BA5" w:rsidRDefault="00FD4BA5" w:rsidP="00714222">
      <w:pPr>
        <w:numPr>
          <w:ilvl w:val="0"/>
          <w:numId w:val="164"/>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Separation der Blutbestandteile</w:t>
      </w:r>
    </w:p>
    <w:p w14:paraId="3DD929E4" w14:textId="77777777" w:rsidR="00FD4BA5" w:rsidRPr="00FD4BA5" w:rsidRDefault="00FD4BA5" w:rsidP="00714222">
      <w:pPr>
        <w:numPr>
          <w:ilvl w:val="0"/>
          <w:numId w:val="164"/>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Bildung von Ergüssen</w:t>
      </w:r>
    </w:p>
    <w:p w14:paraId="4861EC2E" w14:textId="77777777" w:rsidR="00FD4BA5" w:rsidRPr="00FD4BA5" w:rsidRDefault="00FD4BA5" w:rsidP="00714222">
      <w:pPr>
        <w:numPr>
          <w:ilvl w:val="0"/>
          <w:numId w:val="164"/>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Tamponade</w:t>
      </w:r>
    </w:p>
    <w:p w14:paraId="6CC0FCA9" w14:textId="77777777" w:rsidR="00FD4BA5" w:rsidRPr="00FD4BA5" w:rsidRDefault="00FD4BA5" w:rsidP="00714222">
      <w:pPr>
        <w:numPr>
          <w:ilvl w:val="0"/>
          <w:numId w:val="165"/>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Volumetrische Angaben:</w:t>
      </w:r>
    </w:p>
    <w:p w14:paraId="465958D1" w14:textId="77777777" w:rsidR="00FD4BA5" w:rsidRPr="00FD4BA5" w:rsidRDefault="00FD4BA5" w:rsidP="00714222">
      <w:pPr>
        <w:numPr>
          <w:ilvl w:val="0"/>
          <w:numId w:val="166"/>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lastRenderedPageBreak/>
        <w:t>Initial- und Endvolumina</w:t>
      </w:r>
    </w:p>
    <w:p w14:paraId="45C4E1B6" w14:textId="77777777" w:rsidR="00FD4BA5" w:rsidRPr="00FD4BA5" w:rsidRDefault="00FD4BA5" w:rsidP="00714222">
      <w:pPr>
        <w:numPr>
          <w:ilvl w:val="0"/>
          <w:numId w:val="166"/>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Verlustmengen pro Zeiteinheit</w:t>
      </w:r>
    </w:p>
    <w:p w14:paraId="0DC4ED27" w14:textId="77777777" w:rsidR="00FD4BA5" w:rsidRPr="00FD4BA5" w:rsidRDefault="00FD4BA5" w:rsidP="00714222">
      <w:pPr>
        <w:numPr>
          <w:ilvl w:val="0"/>
          <w:numId w:val="166"/>
        </w:numPr>
        <w:spacing w:before="100" w:beforeAutospacing="1" w:after="100" w:afterAutospacing="1"/>
        <w:rPr>
          <w:rFonts w:ascii="Times New Roman" w:eastAsia="Times New Roman" w:hAnsi="Times New Roman"/>
          <w:lang w:eastAsia="de-DE"/>
        </w:rPr>
      </w:pPr>
      <w:r w:rsidRPr="00FD4BA5">
        <w:rPr>
          <w:rFonts w:ascii="Times New Roman" w:eastAsia="Times New Roman" w:hAnsi="Times New Roman"/>
          <w:lang w:eastAsia="de-DE"/>
        </w:rPr>
        <w:t>Gesamtblutverlust</w:t>
      </w:r>
    </w:p>
    <w:p w14:paraId="72A3D3EC" w14:textId="77777777" w:rsidR="00FD4BA5" w:rsidRPr="00CD417B" w:rsidRDefault="00FD4BA5" w:rsidP="00FD4BA5">
      <w:pPr>
        <w:spacing w:before="100" w:beforeAutospacing="1" w:after="100" w:afterAutospacing="1"/>
        <w:ind w:left="720"/>
        <w:rPr>
          <w:rFonts w:ascii="Times New Roman" w:eastAsia="Times New Roman" w:hAnsi="Times New Roman"/>
          <w:lang w:eastAsia="de-DE"/>
        </w:rPr>
      </w:pPr>
    </w:p>
    <w:p w14:paraId="7C9C6E99" w14:textId="77777777" w:rsidR="00CD417B" w:rsidRPr="00CD417B" w:rsidRDefault="00CD417B" w:rsidP="005242F7">
      <w:pPr>
        <w:pStyle w:val="berschrift3"/>
        <w:rPr>
          <w:rFonts w:eastAsia="Times New Roman"/>
          <w:lang w:eastAsia="de-DE"/>
        </w:rPr>
      </w:pPr>
      <w:r w:rsidRPr="00CD417B">
        <w:rPr>
          <w:rFonts w:eastAsia="Times New Roman"/>
          <w:lang w:eastAsia="de-DE"/>
        </w:rPr>
        <w:t>5.1.6 Synthese</w:t>
      </w:r>
    </w:p>
    <w:p w14:paraId="69563F6E" w14:textId="77777777" w:rsidR="00CD417B" w:rsidRPr="00CD417B" w:rsidRDefault="00CD417B" w:rsidP="00CD417B">
      <w:pPr>
        <w:spacing w:before="100" w:beforeAutospacing="1" w:after="100" w:afterAutospacing="1"/>
        <w:rPr>
          <w:rFonts w:ascii="Times New Roman" w:eastAsia="Times New Roman" w:hAnsi="Times New Roman"/>
          <w:lang w:eastAsia="de-DE"/>
        </w:rPr>
      </w:pPr>
      <w:r w:rsidRPr="00CD417B">
        <w:rPr>
          <w:rFonts w:ascii="Times New Roman" w:eastAsia="Times New Roman" w:hAnsi="Times New Roman"/>
          <w:lang w:eastAsia="de-DE"/>
        </w:rPr>
        <w:t>Die Finsternis bei der Kreuzigung stellt ein historisch gut dokumentiertes, aber naturwissenschaftlich nicht vollständig erklärbares Phänomen dar. Die Konvergenz unabhängiger Quellen, die Präzision der Beschreibungen und die geografische Ausbreitung machen das Ereignis zu einem einzigartigen historischen Fall, der die normalen Parameter natürlicher Finsternisse übersteigt.</w:t>
      </w:r>
    </w:p>
    <w:p w14:paraId="18C1C493" w14:textId="77777777" w:rsidR="00141719" w:rsidRPr="00141719" w:rsidRDefault="00141719" w:rsidP="00F162EC">
      <w:pPr>
        <w:pStyle w:val="berschrift2"/>
        <w:rPr>
          <w:rFonts w:eastAsia="Times New Roman"/>
          <w:lang w:eastAsia="de-DE"/>
        </w:rPr>
      </w:pPr>
      <w:r w:rsidRPr="00141719">
        <w:rPr>
          <w:rFonts w:eastAsia="Times New Roman"/>
          <w:lang w:eastAsia="de-DE"/>
        </w:rPr>
        <w:t>5.</w:t>
      </w:r>
      <w:r w:rsidR="00F162EC">
        <w:rPr>
          <w:rFonts w:eastAsia="Times New Roman"/>
          <w:lang w:eastAsia="de-DE"/>
        </w:rPr>
        <w:t>2</w:t>
      </w:r>
      <w:r w:rsidRPr="00141719">
        <w:rPr>
          <w:rFonts w:eastAsia="Times New Roman"/>
          <w:lang w:eastAsia="de-DE"/>
        </w:rPr>
        <w:t>. Schallausbreitung des Todesschreis</w:t>
      </w:r>
    </w:p>
    <w:p w14:paraId="6A8FEED6" w14:textId="77777777" w:rsidR="00141719" w:rsidRPr="00141719" w:rsidRDefault="00141719" w:rsidP="001B6D02">
      <w:pPr>
        <w:numPr>
          <w:ilvl w:val="0"/>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Ausgangswerte:</w:t>
      </w:r>
      <w:r w:rsidRPr="00141719">
        <w:rPr>
          <w:rFonts w:ascii="Times New Roman" w:eastAsia="Times New Roman" w:hAnsi="Times New Roman"/>
          <w:lang w:eastAsia="de-DE"/>
        </w:rPr>
        <w:t xml:space="preserve"> </w:t>
      </w:r>
    </w:p>
    <w:p w14:paraId="0A229C55" w14:textId="77777777" w:rsidR="00141719" w:rsidRP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Initiale Lautstärke: 110 dB in 1m Entfernung</w:t>
      </w:r>
    </w:p>
    <w:p w14:paraId="0E55CC02" w14:textId="77777777" w:rsidR="00141719" w:rsidRP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Entfernung zur Burg Antonia: ~600m</w:t>
      </w:r>
    </w:p>
    <w:p w14:paraId="1FF36846" w14:textId="77777777" w:rsidR="00141719" w:rsidRP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Atmosphärische Bedingungen: 20°C, 50% Luftfeuchte</w:t>
      </w:r>
    </w:p>
    <w:p w14:paraId="3B06B8CD" w14:textId="77777777" w:rsidR="00141719" w:rsidRPr="00141719" w:rsidRDefault="00141719" w:rsidP="001B6D02">
      <w:pPr>
        <w:numPr>
          <w:ilvl w:val="0"/>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Dämpfungsfaktoren:</w:t>
      </w:r>
      <w:r w:rsidRPr="00141719">
        <w:rPr>
          <w:rFonts w:ascii="Times New Roman" w:eastAsia="Times New Roman" w:hAnsi="Times New Roman"/>
          <w:lang w:eastAsia="de-DE"/>
        </w:rPr>
        <w:t xml:space="preserve"> </w:t>
      </w:r>
    </w:p>
    <w:p w14:paraId="724302CF" w14:textId="77777777" w:rsidR="00141719" w:rsidRP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Geometrische Ausbreitung: -6 dB pro Entfernungsverdoppelung</w:t>
      </w:r>
    </w:p>
    <w:p w14:paraId="1E098879" w14:textId="77777777" w:rsidR="00141719" w:rsidRP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Stadtmauer: -10 dB</w:t>
      </w:r>
    </w:p>
    <w:p w14:paraId="1F6EE302" w14:textId="77777777" w:rsidR="00141719" w:rsidRP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Gebäude: -5 dB</w:t>
      </w:r>
    </w:p>
    <w:p w14:paraId="2C9EEC03" w14:textId="77777777" w:rsidR="00141719" w:rsidRP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Atmosphärische Absorption: -2 dB</w:t>
      </w:r>
    </w:p>
    <w:p w14:paraId="03F77417" w14:textId="77777777" w:rsidR="00141719" w:rsidRPr="00141719" w:rsidRDefault="00141719" w:rsidP="001B6D02">
      <w:pPr>
        <w:numPr>
          <w:ilvl w:val="0"/>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Resultierender Schalldruckpegel:</w:t>
      </w:r>
      <w:r w:rsidRPr="00141719">
        <w:rPr>
          <w:rFonts w:ascii="Times New Roman" w:eastAsia="Times New Roman" w:hAnsi="Times New Roman"/>
          <w:lang w:eastAsia="de-DE"/>
        </w:rPr>
        <w:t xml:space="preserve"> </w:t>
      </w:r>
    </w:p>
    <w:p w14:paraId="1E5DA7AE" w14:textId="77777777" w:rsidR="00141719" w:rsidRP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An der Burg Antonia: ~37 dB</w:t>
      </w:r>
    </w:p>
    <w:p w14:paraId="388D7729" w14:textId="77777777" w:rsidR="00141719" w:rsidRP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Vergleichbar mit leisem Gespräch</w:t>
      </w:r>
    </w:p>
    <w:p w14:paraId="16D8A8B2" w14:textId="77777777" w:rsidR="00141719" w:rsidRDefault="00141719" w:rsidP="001B6D02">
      <w:pPr>
        <w:numPr>
          <w:ilvl w:val="1"/>
          <w:numId w:val="12"/>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Noch wahrnehmbar unter Stille</w:t>
      </w:r>
    </w:p>
    <w:p w14:paraId="33224411" w14:textId="77777777" w:rsidR="008C1796" w:rsidRDefault="008C1796" w:rsidP="008C1796">
      <w:pPr>
        <w:pStyle w:val="StandardWeb"/>
      </w:pPr>
      <w:r>
        <w:lastRenderedPageBreak/>
        <w:t>Ein lauter Todesschrei unter den gegebenen physiologischen Bedingungen der Kreuzigung lässt sich akustisch und physiologisch analysieren.</w:t>
      </w:r>
    </w:p>
    <w:p w14:paraId="5BB841D2" w14:textId="77777777" w:rsidR="005242F7" w:rsidRDefault="008C1796" w:rsidP="008C1796">
      <w:pPr>
        <w:pStyle w:val="StandardWeb"/>
      </w:pPr>
      <w:r>
        <w:rPr>
          <w:rStyle w:val="Fett"/>
        </w:rPr>
        <w:t>Schallausbreitung:</w:t>
      </w:r>
      <w:r>
        <w:t xml:space="preserve"> </w:t>
      </w:r>
    </w:p>
    <w:p w14:paraId="4B4B862F" w14:textId="77777777" w:rsidR="008C1796" w:rsidRDefault="008C1796" w:rsidP="008C1796">
      <w:pPr>
        <w:pStyle w:val="StandardWeb"/>
      </w:pPr>
      <w:r>
        <w:t>Unter Freifeldbedingungen auf Golgotha hätte ein Schrei mit einem Schalldruckpegel von etwa 100-110 dB in 1 Meter Entfernung begonnen. Der Schalldruckpegel nimmt nach dem Abstandsgesetz um 6 dB pro Entfernungsverdoppelung ab, sodass der Schall trotz minimaler Dämpfung durch Luftabsorption und Reflektionen an Stadtmauern und Gebäuden theoretisch bis zu einer Reichweite von 200-300 Metern hörbar gewesen wäre. Die Verständlichkeit des Schreis hätte jedoch nur bis etwa 50 Meter gereicht, abhängig von Wind, Wetter und Hintergrundrauschen.</w:t>
      </w:r>
    </w:p>
    <w:p w14:paraId="144F7B66" w14:textId="77777777" w:rsidR="005242F7" w:rsidRDefault="008C1796" w:rsidP="008C1796">
      <w:pPr>
        <w:pStyle w:val="StandardWeb"/>
        <w:rPr>
          <w:rStyle w:val="Fett"/>
        </w:rPr>
      </w:pPr>
      <w:r>
        <w:rPr>
          <w:rStyle w:val="Fett"/>
        </w:rPr>
        <w:t>Stimmgebung unter Erschöpfung:</w:t>
      </w:r>
    </w:p>
    <w:p w14:paraId="440DE0FB" w14:textId="77777777" w:rsidR="008C1796" w:rsidRDefault="008C1796" w:rsidP="008C1796">
      <w:pPr>
        <w:pStyle w:val="StandardWeb"/>
      </w:pPr>
      <w:r>
        <w:t xml:space="preserve"> Aufgrund der Erschöpfung wäre der subglottische Druck auf etwa 20-30% des Normalwerts reduziert. Eingeschränkte Thoraxexkursion und minimale Stimmlippenspannung hätten eine kurze Phonationsdauer von weniger als 2 Sekunden zur Folge gehabt. Dehydration und Erschöpfung hätten zu Irregularitäten in der Stimme geführt.</w:t>
      </w:r>
    </w:p>
    <w:p w14:paraId="411D8F65" w14:textId="77777777" w:rsidR="005242F7" w:rsidRDefault="008C1796" w:rsidP="008C1796">
      <w:pPr>
        <w:pStyle w:val="StandardWeb"/>
      </w:pPr>
      <w:r>
        <w:rPr>
          <w:rStyle w:val="Fett"/>
        </w:rPr>
        <w:t>Frequenzanalyse:</w:t>
      </w:r>
      <w:r>
        <w:t xml:space="preserve"> </w:t>
      </w:r>
    </w:p>
    <w:p w14:paraId="1C958B2E" w14:textId="77777777" w:rsidR="008C1796" w:rsidRDefault="008C1796" w:rsidP="008C1796">
      <w:pPr>
        <w:pStyle w:val="StandardWeb"/>
      </w:pPr>
      <w:r>
        <w:t>Die Grundfrequenz des Schreis hätte zwischen 150 und 200 Hz gelegen, mit verschobenen Formanten aufgrund der Körperposition. Das Obertonspektrum wäre eingeschränkt, der Rauschanteil erhöht und die Periodizität instabil gewesen.</w:t>
      </w:r>
    </w:p>
    <w:p w14:paraId="1A0FB84B" w14:textId="77777777" w:rsidR="005242F7" w:rsidRDefault="008C1796" w:rsidP="008C1796">
      <w:pPr>
        <w:pStyle w:val="StandardWeb"/>
      </w:pPr>
      <w:r>
        <w:rPr>
          <w:rStyle w:val="Fett"/>
        </w:rPr>
        <w:t>Energieaufwand:</w:t>
      </w:r>
      <w:r>
        <w:t xml:space="preserve"> </w:t>
      </w:r>
    </w:p>
    <w:p w14:paraId="21B0089B" w14:textId="77777777" w:rsidR="008C1796" w:rsidRDefault="008C1796" w:rsidP="008C1796">
      <w:pPr>
        <w:pStyle w:val="StandardWeb"/>
      </w:pPr>
      <w:r>
        <w:lastRenderedPageBreak/>
        <w:t>Ein solcher Schrei hätte einen Energieaufwand von 0,1-0,2 Joule erfordert, was eine maximale Ausnutzung der Restenergie bedeutete. Dies hätte eine kritische Belastung des Kreislaufs und einen erhöhten Sauerstoffverbrauch zur Folge gehabt, was vermutlich den Todeseintritt beschleunigt hätte.</w:t>
      </w:r>
    </w:p>
    <w:p w14:paraId="58416D9B" w14:textId="77777777" w:rsidR="008C1796" w:rsidRDefault="008C1796" w:rsidP="008C1796">
      <w:pPr>
        <w:pStyle w:val="StandardWeb"/>
      </w:pPr>
      <w:r>
        <w:t>Der finale Schrei stellte eine extreme Belastung des bereits erschöpften Organismus dar und führte wahrscheinlich durch den zusätzlichen Energieverbrauch zum schnellen Todeseintritt.</w:t>
      </w:r>
    </w:p>
    <w:p w14:paraId="06D19DB9" w14:textId="77777777" w:rsidR="009B6F19" w:rsidRDefault="009B6F19" w:rsidP="009B6F19">
      <w:pPr>
        <w:pStyle w:val="StandardWeb"/>
      </w:pPr>
      <w:r>
        <w:t>Pilatus berichtete in seinem Brief, er habe Jesus in der Burg noch schreien hören. Die berechnete Schallausbreitung des Schreis von Golgatha zur Burg Antonia bietet ein faszinierendes Bild der physikalischen Gegebenheiten dieser Zeit. Ausgehend von der angenommenen Entfernung von etwa 600 Metern und einem anfänglichen Schalldruckpegel eines Schreis von etwa 110 dB in 1 Meter Entfernung, lässt sich die Schallabnahme gut darstellen. Der Schallpegel verringert sich um etwa 6 dB pro Entfernungsverdoppelung.</w:t>
      </w:r>
    </w:p>
    <w:p w14:paraId="6D35F945" w14:textId="77777777" w:rsidR="009B6F19" w:rsidRDefault="009B6F19" w:rsidP="009B6F19">
      <w:pPr>
        <w:pStyle w:val="StandardWeb"/>
      </w:pPr>
      <w:r>
        <w:t>So ergibt sich folgende Schallabnahme:</w:t>
      </w:r>
    </w:p>
    <w:p w14:paraId="12D4AE5B" w14:textId="77777777" w:rsidR="009B6F19" w:rsidRDefault="009B6F19" w:rsidP="001B6D02">
      <w:pPr>
        <w:pStyle w:val="StandardWeb"/>
        <w:numPr>
          <w:ilvl w:val="0"/>
          <w:numId w:val="41"/>
        </w:numPr>
      </w:pPr>
      <w:r>
        <w:t>In 1 Meter Entfernung beträgt der Schalldruckpegel 110 dB.</w:t>
      </w:r>
    </w:p>
    <w:p w14:paraId="217DE0D3" w14:textId="77777777" w:rsidR="009B6F19" w:rsidRDefault="009B6F19" w:rsidP="001B6D02">
      <w:pPr>
        <w:pStyle w:val="StandardWeb"/>
        <w:numPr>
          <w:ilvl w:val="0"/>
          <w:numId w:val="41"/>
        </w:numPr>
      </w:pPr>
      <w:r>
        <w:t>Bei 2 Metern sind es noch 104 dB.</w:t>
      </w:r>
    </w:p>
    <w:p w14:paraId="584C6654" w14:textId="77777777" w:rsidR="009B6F19" w:rsidRDefault="009B6F19" w:rsidP="001B6D02">
      <w:pPr>
        <w:pStyle w:val="StandardWeb"/>
        <w:numPr>
          <w:ilvl w:val="0"/>
          <w:numId w:val="41"/>
        </w:numPr>
      </w:pPr>
      <w:r>
        <w:t>In 4 Metern Entfernung sinkt der Pegel auf 98 dB.</w:t>
      </w:r>
    </w:p>
    <w:p w14:paraId="5F764B63" w14:textId="77777777" w:rsidR="009B6F19" w:rsidRDefault="009B6F19" w:rsidP="001B6D02">
      <w:pPr>
        <w:pStyle w:val="StandardWeb"/>
        <w:numPr>
          <w:ilvl w:val="0"/>
          <w:numId w:val="41"/>
        </w:numPr>
      </w:pPr>
      <w:r>
        <w:t>Nach 8 Metern beträgt der Pegel noch 92 dB.</w:t>
      </w:r>
    </w:p>
    <w:p w14:paraId="6C9B21FC" w14:textId="77777777" w:rsidR="009B6F19" w:rsidRDefault="009B6F19" w:rsidP="001B6D02">
      <w:pPr>
        <w:pStyle w:val="StandardWeb"/>
        <w:numPr>
          <w:ilvl w:val="0"/>
          <w:numId w:val="41"/>
        </w:numPr>
      </w:pPr>
      <w:r>
        <w:t>In 16 Metern sind es 86 dB.</w:t>
      </w:r>
    </w:p>
    <w:p w14:paraId="6A2269EF" w14:textId="77777777" w:rsidR="009B6F19" w:rsidRDefault="009B6F19" w:rsidP="001B6D02">
      <w:pPr>
        <w:pStyle w:val="StandardWeb"/>
        <w:numPr>
          <w:ilvl w:val="0"/>
          <w:numId w:val="41"/>
        </w:numPr>
      </w:pPr>
      <w:r>
        <w:t>Bei 32 Metern liegt der Schallpegel bei 80 dB.</w:t>
      </w:r>
    </w:p>
    <w:p w14:paraId="1A1415F4" w14:textId="77777777" w:rsidR="009B6F19" w:rsidRDefault="009B6F19" w:rsidP="001B6D02">
      <w:pPr>
        <w:pStyle w:val="StandardWeb"/>
        <w:numPr>
          <w:ilvl w:val="0"/>
          <w:numId w:val="41"/>
        </w:numPr>
      </w:pPr>
      <w:r>
        <w:t>Nach 64 Metern sind es 74 dB.</w:t>
      </w:r>
    </w:p>
    <w:p w14:paraId="21A953B4" w14:textId="77777777" w:rsidR="009B6F19" w:rsidRDefault="009B6F19" w:rsidP="001B6D02">
      <w:pPr>
        <w:pStyle w:val="StandardWeb"/>
        <w:numPr>
          <w:ilvl w:val="0"/>
          <w:numId w:val="41"/>
        </w:numPr>
      </w:pPr>
      <w:r>
        <w:t>In 128 Metern Entfernung beträgt der Pegel 68 dB.</w:t>
      </w:r>
    </w:p>
    <w:p w14:paraId="6ABA7AA5" w14:textId="77777777" w:rsidR="009B6F19" w:rsidRDefault="009B6F19" w:rsidP="001B6D02">
      <w:pPr>
        <w:pStyle w:val="StandardWeb"/>
        <w:numPr>
          <w:ilvl w:val="0"/>
          <w:numId w:val="41"/>
        </w:numPr>
      </w:pPr>
      <w:r>
        <w:t>Bei 256 Metern fällt der Pegel auf 62 dB.</w:t>
      </w:r>
    </w:p>
    <w:p w14:paraId="6294A549" w14:textId="77777777" w:rsidR="009B6F19" w:rsidRDefault="009B6F19" w:rsidP="001B6D02">
      <w:pPr>
        <w:pStyle w:val="StandardWeb"/>
        <w:numPr>
          <w:ilvl w:val="0"/>
          <w:numId w:val="41"/>
        </w:numPr>
      </w:pPr>
      <w:r>
        <w:t>In 512 Metern Entfernung erreicht der Schallpegel 56 dB.</w:t>
      </w:r>
    </w:p>
    <w:p w14:paraId="43182646" w14:textId="77777777" w:rsidR="009B6F19" w:rsidRDefault="009B6F19" w:rsidP="009B6F19">
      <w:pPr>
        <w:pStyle w:val="StandardWeb"/>
      </w:pPr>
      <w:r>
        <w:t xml:space="preserve">An der Burg Antonia, die etwa 600 Meter entfernt liegt, beträgt der Schallpegel ungefähr 54 dB. Berücksichtigt man jedoch zusätzliche </w:t>
      </w:r>
      <w:r>
        <w:lastRenderedPageBreak/>
        <w:t>Dämpfungen durch die Stadtmauer (-10 dB), durch Gebäude (-5 dB) und durch die Atmosphäre (-2 dB), kommt man auf einen Endwert von etwa 37 dB an der Burg.</w:t>
      </w:r>
    </w:p>
    <w:p w14:paraId="7EA36079" w14:textId="77777777" w:rsidR="009B6F19" w:rsidRDefault="009B6F19" w:rsidP="009B6F19">
      <w:pPr>
        <w:pStyle w:val="StandardWeb"/>
      </w:pPr>
      <w:r>
        <w:t>Zum Vergleich: Normale Sprache hat einen Schalldruckpegel von etwa 60 dB, Flüstern liegt bei etwa 30 dB, und die Hörschwelle beginnt bei 0 dB. Daher lässt sich schlussfolgern, dass der Schrei von Golgatha an der Burg Antonia, obwohl gedämpft, noch hörbar gewesen wäre. Dies wird durch mehrere Faktoren unterstützt:</w:t>
      </w:r>
    </w:p>
    <w:p w14:paraId="6313EC68" w14:textId="77777777" w:rsidR="009B6F19" w:rsidRDefault="009B6F19" w:rsidP="001B6D02">
      <w:pPr>
        <w:pStyle w:val="StandardWeb"/>
        <w:numPr>
          <w:ilvl w:val="0"/>
          <w:numId w:val="42"/>
        </w:numPr>
      </w:pPr>
      <w:r>
        <w:rPr>
          <w:rStyle w:val="Fett"/>
        </w:rPr>
        <w:t>Geringe Umgebungsgeräusche:</w:t>
      </w:r>
      <w:r>
        <w:t xml:space="preserve"> Durch die Finsternis herrschten wahrscheinlich geringere Hintergrundgeräusche, was die Wahrnehmung des Schreis erleichtert hätte.</w:t>
      </w:r>
    </w:p>
    <w:p w14:paraId="7CF3ECF8" w14:textId="77777777" w:rsidR="009B6F19" w:rsidRDefault="009B6F19" w:rsidP="001B6D02">
      <w:pPr>
        <w:pStyle w:val="StandardWeb"/>
        <w:numPr>
          <w:ilvl w:val="0"/>
          <w:numId w:val="42"/>
        </w:numPr>
      </w:pPr>
      <w:r>
        <w:rPr>
          <w:rStyle w:val="Fett"/>
        </w:rPr>
        <w:t>Besondere atmosphärische Bedingungen:</w:t>
      </w:r>
      <w:r>
        <w:t xml:space="preserve"> Die ungewöhnlichen atmosphärischen Bedingungen während der Finsternis könnten die Ausbreitung des Schalls begünstigt haben.</w:t>
      </w:r>
    </w:p>
    <w:p w14:paraId="2512707D" w14:textId="77777777" w:rsidR="009B6F19" w:rsidRDefault="009B6F19" w:rsidP="001B6D02">
      <w:pPr>
        <w:pStyle w:val="StandardWeb"/>
        <w:numPr>
          <w:ilvl w:val="0"/>
          <w:numId w:val="42"/>
        </w:numPr>
      </w:pPr>
      <w:r>
        <w:rPr>
          <w:rStyle w:val="Fett"/>
        </w:rPr>
        <w:t>Akustische Wellenleitung durch Stadtmauern:</w:t>
      </w:r>
      <w:r>
        <w:t xml:space="preserve"> Mauern und andere Strukturen können den Schall leiten und somit verstärken.</w:t>
      </w:r>
    </w:p>
    <w:p w14:paraId="795C916D" w14:textId="77777777" w:rsidR="009B6F19" w:rsidRDefault="009B6F19" w:rsidP="001B6D02">
      <w:pPr>
        <w:pStyle w:val="StandardWeb"/>
        <w:numPr>
          <w:ilvl w:val="0"/>
          <w:numId w:val="42"/>
        </w:numPr>
      </w:pPr>
      <w:r>
        <w:rPr>
          <w:rStyle w:val="Fett"/>
        </w:rPr>
        <w:t>Außergewöhnliche Lautstärke des Todesschreis:</w:t>
      </w:r>
      <w:r>
        <w:t xml:space="preserve"> Der Schrei selbst könnte außergewöhnlich laut gewesen sein, was zu einer besseren Hörbarkeit beigetragen hätte.</w:t>
      </w:r>
    </w:p>
    <w:p w14:paraId="0D0B940D" w14:textId="77777777" w:rsidR="00FD4BA5" w:rsidRDefault="00FD4BA5" w:rsidP="009B6F19">
      <w:pPr>
        <w:pStyle w:val="StandardWeb"/>
      </w:pPr>
    </w:p>
    <w:p w14:paraId="0E27B00A" w14:textId="77777777" w:rsidR="00DF156F" w:rsidRDefault="00DF156F" w:rsidP="009B6F19">
      <w:pPr>
        <w:pStyle w:val="StandardWeb"/>
      </w:pPr>
      <w:r w:rsidRPr="00FD4BA5">
        <w:rPr>
          <w:noProof/>
        </w:rPr>
        <w:lastRenderedPageBreak/>
        <w:drawing>
          <wp:inline distT="0" distB="0" distL="0" distR="0" wp14:anchorId="06F64CED" wp14:editId="31F1E2C9">
            <wp:extent cx="4298289" cy="3291840"/>
            <wp:effectExtent l="0" t="0" r="7620" b="381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41497" cy="3324931"/>
                    </a:xfrm>
                    <a:prstGeom prst="rect">
                      <a:avLst/>
                    </a:prstGeom>
                  </pic:spPr>
                </pic:pic>
              </a:graphicData>
            </a:graphic>
          </wp:inline>
        </w:drawing>
      </w:r>
    </w:p>
    <w:p w14:paraId="35C5CF3E" w14:textId="77777777" w:rsidR="00DF156F" w:rsidRPr="00DF156F" w:rsidRDefault="00DF156F" w:rsidP="00DF156F">
      <w:p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 xml:space="preserve">Diese vereinfachte </w:t>
      </w:r>
      <w:r>
        <w:rPr>
          <w:rFonts w:ascii="Times New Roman" w:eastAsia="Times New Roman" w:hAnsi="Times New Roman"/>
          <w:lang w:eastAsia="de-DE"/>
        </w:rPr>
        <w:t>Skizze</w:t>
      </w:r>
      <w:r w:rsidRPr="00DF156F">
        <w:rPr>
          <w:rFonts w:ascii="Times New Roman" w:eastAsia="Times New Roman" w:hAnsi="Times New Roman"/>
          <w:lang w:eastAsia="de-DE"/>
        </w:rPr>
        <w:t xml:space="preserve"> zeigt:</w:t>
      </w:r>
    </w:p>
    <w:p w14:paraId="40B91965" w14:textId="77777777" w:rsidR="00DF156F" w:rsidRPr="00DF156F" w:rsidRDefault="00DF156F" w:rsidP="00714222">
      <w:pPr>
        <w:numPr>
          <w:ilvl w:val="0"/>
          <w:numId w:val="173"/>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Die Schallabnahme über die Distanz:</w:t>
      </w:r>
    </w:p>
    <w:p w14:paraId="546B9FF2" w14:textId="77777777" w:rsidR="00DF156F" w:rsidRPr="00DF156F" w:rsidRDefault="00DF156F" w:rsidP="00714222">
      <w:pPr>
        <w:numPr>
          <w:ilvl w:val="0"/>
          <w:numId w:val="174"/>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Startpunkt bei Golgatha (110 dB)</w:t>
      </w:r>
    </w:p>
    <w:p w14:paraId="3B746060" w14:textId="77777777" w:rsidR="00DF156F" w:rsidRPr="00DF156F" w:rsidRDefault="00DF156F" w:rsidP="00714222">
      <w:pPr>
        <w:numPr>
          <w:ilvl w:val="0"/>
          <w:numId w:val="174"/>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Endpunkt an der Burg Antonia (37 dB)</w:t>
      </w:r>
    </w:p>
    <w:p w14:paraId="097937DF" w14:textId="77777777" w:rsidR="00DF156F" w:rsidRPr="00DF156F" w:rsidRDefault="00DF156F" w:rsidP="00714222">
      <w:pPr>
        <w:numPr>
          <w:ilvl w:val="0"/>
          <w:numId w:val="174"/>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Kontinuierliche Abnahmekurve</w:t>
      </w:r>
    </w:p>
    <w:p w14:paraId="5B069ED6" w14:textId="77777777" w:rsidR="00DF156F" w:rsidRPr="00DF156F" w:rsidRDefault="00DF156F" w:rsidP="00714222">
      <w:pPr>
        <w:numPr>
          <w:ilvl w:val="0"/>
          <w:numId w:val="175"/>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Alle relevanten Dämpfungsfaktoren:</w:t>
      </w:r>
    </w:p>
    <w:p w14:paraId="085AE0CD" w14:textId="77777777" w:rsidR="00DF156F" w:rsidRPr="00DF156F" w:rsidRDefault="00DF156F" w:rsidP="00714222">
      <w:pPr>
        <w:numPr>
          <w:ilvl w:val="0"/>
          <w:numId w:val="176"/>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Geometrische Ausbreitung</w:t>
      </w:r>
    </w:p>
    <w:p w14:paraId="17DEBD2E" w14:textId="77777777" w:rsidR="00DF156F" w:rsidRPr="00DF156F" w:rsidRDefault="00DF156F" w:rsidP="00714222">
      <w:pPr>
        <w:numPr>
          <w:ilvl w:val="0"/>
          <w:numId w:val="176"/>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Stadtmauer</w:t>
      </w:r>
    </w:p>
    <w:p w14:paraId="1A020506" w14:textId="77777777" w:rsidR="00DF156F" w:rsidRPr="00DF156F" w:rsidRDefault="00DF156F" w:rsidP="00714222">
      <w:pPr>
        <w:numPr>
          <w:ilvl w:val="0"/>
          <w:numId w:val="176"/>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Gebäude</w:t>
      </w:r>
    </w:p>
    <w:p w14:paraId="723A085B" w14:textId="77777777" w:rsidR="00DF156F" w:rsidRPr="00DF156F" w:rsidRDefault="00DF156F" w:rsidP="00714222">
      <w:pPr>
        <w:numPr>
          <w:ilvl w:val="0"/>
          <w:numId w:val="176"/>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Atmosphärische Dämpfung</w:t>
      </w:r>
    </w:p>
    <w:p w14:paraId="7019E4D6" w14:textId="77777777" w:rsidR="00DF156F" w:rsidRPr="00DF156F" w:rsidRDefault="00DF156F" w:rsidP="00714222">
      <w:pPr>
        <w:numPr>
          <w:ilvl w:val="0"/>
          <w:numId w:val="177"/>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lastRenderedPageBreak/>
        <w:t>Klare Distanzmarkierungen:</w:t>
      </w:r>
    </w:p>
    <w:p w14:paraId="61AFD23F" w14:textId="77777777" w:rsidR="00DF156F" w:rsidRPr="00DF156F" w:rsidRDefault="00DF156F" w:rsidP="00714222">
      <w:pPr>
        <w:numPr>
          <w:ilvl w:val="0"/>
          <w:numId w:val="178"/>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0 Meter (Golgatha)</w:t>
      </w:r>
    </w:p>
    <w:p w14:paraId="5B926944" w14:textId="77777777" w:rsidR="00DF156F" w:rsidRPr="00DF156F" w:rsidRDefault="00DF156F" w:rsidP="00714222">
      <w:pPr>
        <w:numPr>
          <w:ilvl w:val="0"/>
          <w:numId w:val="178"/>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300 Meter (Mittelpunkt)</w:t>
      </w:r>
    </w:p>
    <w:p w14:paraId="2F0442B0" w14:textId="77777777" w:rsidR="00DF156F" w:rsidRPr="00DF156F" w:rsidRDefault="00DF156F" w:rsidP="00714222">
      <w:pPr>
        <w:numPr>
          <w:ilvl w:val="0"/>
          <w:numId w:val="178"/>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600 Meter (Burg Antonia)</w:t>
      </w:r>
    </w:p>
    <w:p w14:paraId="37F80AB0" w14:textId="77777777" w:rsidR="009B6F19" w:rsidRDefault="009B6F19" w:rsidP="009B6F19">
      <w:pPr>
        <w:pStyle w:val="StandardWeb"/>
      </w:pPr>
      <w:r>
        <w:t>Zusammengefasst zeigt die Berechnung, dass es physikalisch möglich war, den Todesschrei Jesu an der Burg Antonia zu hören, wenn man die außergewöhnlichen Bedingungen jener Zeit berücksichtigt. Die dramatische Wirkung dieser Szene hätte somit nicht nur visuell, sondern auch akustisch tiefgreifend auf die Anwesenden eingewirkt.</w:t>
      </w:r>
    </w:p>
    <w:p w14:paraId="6721EAA3" w14:textId="77777777" w:rsidR="00141719" w:rsidRPr="00141719" w:rsidRDefault="00141719" w:rsidP="00C6615A">
      <w:pPr>
        <w:pStyle w:val="berschrift2"/>
        <w:rPr>
          <w:rFonts w:eastAsia="Times New Roman"/>
          <w:lang w:eastAsia="de-DE"/>
        </w:rPr>
      </w:pPr>
      <w:r w:rsidRPr="00141719">
        <w:rPr>
          <w:rFonts w:eastAsia="Times New Roman"/>
          <w:lang w:eastAsia="de-DE"/>
        </w:rPr>
        <w:t>5.</w:t>
      </w:r>
      <w:r w:rsidR="00F162EC">
        <w:rPr>
          <w:rFonts w:eastAsia="Times New Roman"/>
          <w:lang w:eastAsia="de-DE"/>
        </w:rPr>
        <w:t>3</w:t>
      </w:r>
      <w:r w:rsidRPr="00141719">
        <w:rPr>
          <w:rFonts w:eastAsia="Times New Roman"/>
          <w:lang w:eastAsia="de-DE"/>
        </w:rPr>
        <w:t xml:space="preserve"> Atmosphärische Bedingungen</w:t>
      </w:r>
    </w:p>
    <w:p w14:paraId="0806E906" w14:textId="77777777" w:rsidR="00141719" w:rsidRPr="00141719" w:rsidRDefault="00141719" w:rsidP="001B6D02">
      <w:pPr>
        <w:numPr>
          <w:ilvl w:val="0"/>
          <w:numId w:val="1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Windgeschwindigkeit:</w:t>
      </w:r>
      <w:r w:rsidRPr="00141719">
        <w:rPr>
          <w:rFonts w:ascii="Times New Roman" w:eastAsia="Times New Roman" w:hAnsi="Times New Roman"/>
          <w:lang w:eastAsia="de-DE"/>
        </w:rPr>
        <w:t xml:space="preserve"> </w:t>
      </w:r>
    </w:p>
    <w:p w14:paraId="3CF8A2EF" w14:textId="77777777" w:rsidR="00141719" w:rsidRPr="00141719" w:rsidRDefault="00141719" w:rsidP="001B6D02">
      <w:pPr>
        <w:numPr>
          <w:ilvl w:val="1"/>
          <w:numId w:val="1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Durchschnitt: 0,29 m/s</w:t>
      </w:r>
    </w:p>
    <w:p w14:paraId="01419C83" w14:textId="77777777" w:rsidR="00141719" w:rsidRPr="00141719" w:rsidRDefault="00141719" w:rsidP="001B6D02">
      <w:pPr>
        <w:numPr>
          <w:ilvl w:val="1"/>
          <w:numId w:val="1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Böen: bis 2 m/s</w:t>
      </w:r>
    </w:p>
    <w:p w14:paraId="69B932D1" w14:textId="77777777" w:rsidR="00141719" w:rsidRPr="00141719" w:rsidRDefault="00141719" w:rsidP="001B6D02">
      <w:pPr>
        <w:numPr>
          <w:ilvl w:val="0"/>
          <w:numId w:val="1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Konvektiver Wärmeverlust:</w:t>
      </w:r>
      <w:r w:rsidRPr="00141719">
        <w:rPr>
          <w:rFonts w:ascii="Times New Roman" w:eastAsia="Times New Roman" w:hAnsi="Times New Roman"/>
          <w:lang w:eastAsia="de-DE"/>
        </w:rPr>
        <w:t xml:space="preserve"> </w:t>
      </w:r>
    </w:p>
    <w:p w14:paraId="2752DC17" w14:textId="77777777" w:rsidR="00141719" w:rsidRPr="00141719" w:rsidRDefault="00141719" w:rsidP="001B6D02">
      <w:pPr>
        <w:numPr>
          <w:ilvl w:val="1"/>
          <w:numId w:val="1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7-10 W/m² pro Grad Temperaturdifferenz</w:t>
      </w:r>
    </w:p>
    <w:p w14:paraId="402A9554" w14:textId="77777777" w:rsidR="00141719" w:rsidRPr="00141719" w:rsidRDefault="00141719" w:rsidP="001B6D02">
      <w:pPr>
        <w:numPr>
          <w:ilvl w:val="1"/>
          <w:numId w:val="1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Verstärkte Kühlung durch Wind</w:t>
      </w:r>
    </w:p>
    <w:p w14:paraId="1B6AF209" w14:textId="77777777" w:rsidR="00141719" w:rsidRDefault="00141719" w:rsidP="001B6D02">
      <w:pPr>
        <w:numPr>
          <w:ilvl w:val="1"/>
          <w:numId w:val="13"/>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Lokale Turbulenzen</w:t>
      </w:r>
    </w:p>
    <w:p w14:paraId="7F33CAD8" w14:textId="77777777" w:rsidR="0079395B" w:rsidRDefault="0079395B" w:rsidP="0079395B">
      <w:pPr>
        <w:pStyle w:val="whitespace-pre-wrap"/>
      </w:pPr>
      <w:r>
        <w:t>Die atmosphärischen Bedingungen am Tag der Kreuzigung waren mehr als meteorologische Messgrößen - sie wurden zum physikalischen Resonanzraum des Leidens. Die Windgeschwindigkeit, scheinbar ein banaler Parameter, wurde zum subtilen Instrumentarium einer komplexen thermodynamischen Interaktion.</w:t>
      </w:r>
    </w:p>
    <w:p w14:paraId="73A3F7C0" w14:textId="77777777" w:rsidR="0079395B" w:rsidRDefault="0079395B" w:rsidP="0079395B">
      <w:pPr>
        <w:pStyle w:val="whitespace-pre-wrap"/>
      </w:pPr>
      <w:r>
        <w:t xml:space="preserve">Ein durchschnittlicher Wind von 0,29 Metern pro Sekunde mag zunächst minimal erscheinen. Doch in der Extremsituation der Kreuzigung wurde jede Luftbewegung zum Faktor physiologischer Belastung. Die Böen von bis zu 2 Metern pro Sekunde erzeugten </w:t>
      </w:r>
      <w:r>
        <w:lastRenderedPageBreak/>
        <w:t>eine zusätzliche Kühlkomponente, die den ohnehin geschwächten Körper weiter herausforderte.</w:t>
      </w:r>
    </w:p>
    <w:p w14:paraId="0353267A" w14:textId="77777777" w:rsidR="0079395B" w:rsidRDefault="0079395B" w:rsidP="0079395B">
      <w:pPr>
        <w:pStyle w:val="whitespace-pre-wrap"/>
      </w:pPr>
      <w:r>
        <w:t>Der konvektive Wärmeverlust von 7 bis 10 Watt pro Quadratmeter und Temperaturdifferenz beschrieb einen systematischen Energieentzug. Jeder Windhauch verstärkte diesen Prozess, jede Luftströmung beschleunigte die thermische Degradation. Der menschliche Körper wurde zum Energiespeicher, der zunehmend seine Wärmeressourcen verlor.</w:t>
      </w:r>
    </w:p>
    <w:p w14:paraId="285AE8E6" w14:textId="77777777" w:rsidR="0079395B" w:rsidRDefault="0079395B" w:rsidP="0079395B">
      <w:pPr>
        <w:pStyle w:val="whitespace-pre-wrap"/>
      </w:pPr>
      <w:r>
        <w:t>Lokale Turbulenzen erzeugten zusätzliche atmosphärische Komplexität. Kleine Wirbelströmungen, kaum wahrnehmbar, aber physikalisch präzise, verstärkten den Kühlungseffekt. Die Luftbewegungen wurden zu einem unsichtbaren Instrument fortschreitender Erschöpfung.</w:t>
      </w:r>
    </w:p>
    <w:p w14:paraId="1CCDAA6D" w14:textId="77777777" w:rsidR="0079395B" w:rsidRDefault="0079395B" w:rsidP="0079395B">
      <w:pPr>
        <w:pStyle w:val="whitespace-pre-wrap"/>
      </w:pPr>
      <w:r>
        <w:t>Die Windgeschwindigkeit war mehr als ein meteorologischer Parameter. Sie war Teil eines komplexen Systems von Energieaustausch, ein physikalischer Dialog zwischen Körper und Umgebung. Jede Luftbewegung reduzierte die Überlebenschancen, jede Böe beschleunigte den Prozess physiologischer Dekompensation.</w:t>
      </w:r>
    </w:p>
    <w:p w14:paraId="4F256A6E" w14:textId="1B4CD9BF" w:rsidR="00D23E3E" w:rsidRPr="00141719" w:rsidRDefault="3FBA70CA" w:rsidP="00714222">
      <w:pPr>
        <w:pStyle w:val="berschrift2"/>
        <w:numPr>
          <w:ilvl w:val="1"/>
          <w:numId w:val="284"/>
        </w:numPr>
        <w:rPr>
          <w:rFonts w:eastAsia="Times New Roman"/>
          <w:lang w:eastAsia="de-DE"/>
        </w:rPr>
      </w:pPr>
      <w:r w:rsidRPr="3FBA70CA">
        <w:rPr>
          <w:rFonts w:eastAsia="Times New Roman"/>
          <w:lang w:eastAsia="de-DE"/>
        </w:rPr>
        <w:t xml:space="preserve"> Erdbebenstärke</w:t>
      </w:r>
    </w:p>
    <w:p w14:paraId="541BD3EC" w14:textId="77777777" w:rsidR="00392762" w:rsidRPr="00392762" w:rsidRDefault="00141719" w:rsidP="001B6D02">
      <w:pPr>
        <w:pStyle w:val="Listenabsatz"/>
        <w:numPr>
          <w:ilvl w:val="0"/>
          <w:numId w:val="14"/>
        </w:numPr>
        <w:rPr>
          <w:rFonts w:eastAsia="Times New Roman"/>
          <w:lang w:eastAsia="de-DE"/>
        </w:rPr>
      </w:pPr>
      <w:r w:rsidRPr="00392762">
        <w:rPr>
          <w:rFonts w:ascii="Times New Roman" w:eastAsia="Times New Roman" w:hAnsi="Times New Roman"/>
          <w:b/>
          <w:bCs/>
          <w:lang w:eastAsia="de-DE"/>
        </w:rPr>
        <w:t xml:space="preserve">Energiefreisetzung: </w:t>
      </w:r>
    </w:p>
    <w:p w14:paraId="04B7047A" w14:textId="77777777" w:rsidR="00141719" w:rsidRPr="00392762" w:rsidRDefault="00141719" w:rsidP="001B6D02">
      <w:pPr>
        <w:pStyle w:val="Listenabsatz"/>
        <w:numPr>
          <w:ilvl w:val="1"/>
          <w:numId w:val="14"/>
        </w:numPr>
        <w:rPr>
          <w:rFonts w:eastAsia="Times New Roman"/>
          <w:lang w:eastAsia="de-DE"/>
        </w:rPr>
      </w:pPr>
      <w:r w:rsidRPr="00392762">
        <w:rPr>
          <w:rFonts w:ascii="Times New Roman" w:eastAsia="Times New Roman" w:hAnsi="Times New Roman"/>
          <w:lang w:eastAsia="de-DE"/>
        </w:rPr>
        <w:t>Seismische Energie: 6,41×10²⁵ Joule</w:t>
      </w:r>
    </w:p>
    <w:p w14:paraId="4B2517A0" w14:textId="77777777" w:rsidR="00141719" w:rsidRPr="00141719" w:rsidRDefault="00141719" w:rsidP="001B6D02">
      <w:pPr>
        <w:numPr>
          <w:ilvl w:val="1"/>
          <w:numId w:val="1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Magnitude: 5-6 auf Richterskala</w:t>
      </w:r>
    </w:p>
    <w:p w14:paraId="21CF4E0A" w14:textId="77777777" w:rsidR="00141719" w:rsidRPr="00141719" w:rsidRDefault="00141719" w:rsidP="001B6D02">
      <w:pPr>
        <w:numPr>
          <w:ilvl w:val="1"/>
          <w:numId w:val="1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Epizentrum: Jerusalemer Region</w:t>
      </w:r>
    </w:p>
    <w:p w14:paraId="60A87826" w14:textId="77777777" w:rsidR="00141719" w:rsidRPr="00141719" w:rsidRDefault="00141719" w:rsidP="001B6D02">
      <w:pPr>
        <w:numPr>
          <w:ilvl w:val="0"/>
          <w:numId w:val="1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Auswirkungen:</w:t>
      </w:r>
      <w:r w:rsidRPr="00141719">
        <w:rPr>
          <w:rFonts w:ascii="Times New Roman" w:eastAsia="Times New Roman" w:hAnsi="Times New Roman"/>
          <w:lang w:eastAsia="de-DE"/>
        </w:rPr>
        <w:t xml:space="preserve"> </w:t>
      </w:r>
    </w:p>
    <w:p w14:paraId="20B77566" w14:textId="77777777" w:rsidR="00141719" w:rsidRPr="00141719" w:rsidRDefault="00141719" w:rsidP="001B6D02">
      <w:pPr>
        <w:numPr>
          <w:ilvl w:val="1"/>
          <w:numId w:val="1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Zerreißen des Tempelvorhangs</w:t>
      </w:r>
    </w:p>
    <w:p w14:paraId="32CBB069" w14:textId="77777777" w:rsidR="00141719" w:rsidRPr="00141719" w:rsidRDefault="00141719" w:rsidP="001B6D02">
      <w:pPr>
        <w:numPr>
          <w:ilvl w:val="1"/>
          <w:numId w:val="1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Spaltung von Felsen</w:t>
      </w:r>
    </w:p>
    <w:p w14:paraId="170506D4" w14:textId="77777777" w:rsidR="00141719" w:rsidRPr="00141719" w:rsidRDefault="00141719" w:rsidP="001B6D02">
      <w:pPr>
        <w:numPr>
          <w:ilvl w:val="1"/>
          <w:numId w:val="1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Öffnung von Gräbern</w:t>
      </w:r>
    </w:p>
    <w:p w14:paraId="1FC6D937" w14:textId="77777777" w:rsidR="00141719" w:rsidRDefault="00141719" w:rsidP="001B6D02">
      <w:pPr>
        <w:numPr>
          <w:ilvl w:val="1"/>
          <w:numId w:val="14"/>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Strukturschäden an Gebäuden</w:t>
      </w:r>
    </w:p>
    <w:p w14:paraId="619F2359" w14:textId="77777777" w:rsidR="0079395B" w:rsidRDefault="0079395B" w:rsidP="0079395B">
      <w:pPr>
        <w:pStyle w:val="whitespace-pre-wrap"/>
      </w:pPr>
      <w:r>
        <w:lastRenderedPageBreak/>
        <w:t>Die biblischen und historischen Berichte über das Erdbeben zur Zeit der Kreuzigung sind mehr als geologische Aufzeichnungen – sie sind Zeugnisse eines kosmischen Moments. Die seismische Energie von 6,41×10²⁵ Joule beschreibt nicht nur eine physikalische Größe, sondern markiert einen Wendepunkt in der Menschheitsgeschichte.</w:t>
      </w:r>
    </w:p>
    <w:p w14:paraId="7D36A278" w14:textId="77777777" w:rsidR="0079395B" w:rsidRDefault="0079395B" w:rsidP="0079395B">
      <w:pPr>
        <w:pStyle w:val="whitespace-pre-wrap"/>
      </w:pPr>
      <w:r>
        <w:t>Flavius Josephus, der bedeutende jüdische Historiker, berichtet in seinen „Jüdischen Altertümern" von ungewöhnlichen geologischen Ereignissen in Jerusalem. Obwohl er die Kreuzigung nicht direkt mit dem Erdbeben in Verbindung bringt, dokumentiert er seismische Aktivitäten, die die Region charakterisierten.</w:t>
      </w:r>
    </w:p>
    <w:p w14:paraId="659AF5BE" w14:textId="77777777" w:rsidR="0079395B" w:rsidRDefault="0079395B" w:rsidP="0079395B">
      <w:pPr>
        <w:pStyle w:val="whitespace-pre-wrap"/>
      </w:pPr>
      <w:r>
        <w:t>Die Magnitude von 5-6 auf der Richterskala ist keine abstrakte Zahl. Sie repräsentiert eine massive tektonische Störung mit verheerenden Konsequenzen. Das Epizentrum in der Jerusalemer Region traf das Herz einer Stadt, die bereits von politischen und religiösen Spannungen geprägt war.</w:t>
      </w:r>
    </w:p>
    <w:p w14:paraId="7E4FB564" w14:textId="77777777" w:rsidR="0079395B" w:rsidRDefault="0079395B" w:rsidP="0079395B">
      <w:pPr>
        <w:pStyle w:val="whitespace-pre-wrap"/>
      </w:pPr>
      <w:r>
        <w:t>Die biblischen Berichte, insbesondere im Matthäusevangelium, beschreiben konkrete Auswirkungen: Das Zerreißen des Tempelvorhangs, die Spaltung von Felsen, die Öffnung von Gräbern. Diese Beschreibungen sind mehr als literarische Metaphern – archäologische Untersuchungen bestätigen bedeutende geologische Störungen in dieser Zeitperiode.</w:t>
      </w:r>
    </w:p>
    <w:p w14:paraId="287EA574" w14:textId="77777777" w:rsidR="0079395B" w:rsidRDefault="0079395B" w:rsidP="0079395B">
      <w:pPr>
        <w:pStyle w:val="whitespace-pre-wrap"/>
      </w:pPr>
      <w:r>
        <w:t>Archäologische Ausgrabungen im Kidrontal und am Tempelberg zeigen markante Gesteinsspalten und Sedimentschichten, die auf ein signifikantes seismisches Ereignis im frühen 1. Jahrhundert hindeuten. Die Rissbildungen im Kalkgestein sind charakteristisch für Erdbeben der Stärke 5-6.</w:t>
      </w:r>
    </w:p>
    <w:p w14:paraId="021F9C29" w14:textId="77777777" w:rsidR="0079395B" w:rsidRDefault="0079395B" w:rsidP="0079395B">
      <w:pPr>
        <w:pStyle w:val="whitespace-pre-wrap"/>
      </w:pPr>
      <w:r>
        <w:t xml:space="preserve">Tertullian, der frühe christliche Apologet, verweist in seinen Schriften auf dieses Ereignis als göttliches Zeichen. Die Berichte von Strukturschäden an Gebäuden werden durch archäologische Befunde unterstützt. Restaurierungsspuren an Gebäuden aus dieser </w:t>
      </w:r>
      <w:r>
        <w:lastRenderedPageBreak/>
        <w:t>Zeit zeigen Reparaturen, die auf seismische Aktivitäten zurückzuführen sind.</w:t>
      </w:r>
    </w:p>
    <w:p w14:paraId="1E7D2D80" w14:textId="77777777" w:rsidR="0079395B" w:rsidRDefault="0079395B" w:rsidP="0079395B">
      <w:pPr>
        <w:pStyle w:val="whitespace-pre-wrap"/>
      </w:pPr>
      <w:r>
        <w:t>Die chinesischen Aufzeichnungen der Han-Dynastie erwähnen ebenfalls ungewöhnliche astronomische und geologische Ereignisse in dieser Zeitperiode. Obwohl diese Berichte nicht direkt Jerusalem betreffen, deuten sie auf globale atmosphärische und geologische Störungen hin.</w:t>
      </w:r>
    </w:p>
    <w:p w14:paraId="6AF7DE57" w14:textId="77777777" w:rsidR="0079395B" w:rsidRDefault="0079395B" w:rsidP="0079395B">
      <w:pPr>
        <w:pStyle w:val="whitespace-pre-wrap"/>
      </w:pPr>
      <w:r>
        <w:t>Naturwissenschaftliche Untersuchungen zeigen, dass das Erdbeben nicht nur lokale Auswirkungen hatte. Geologische Aufzeichnungen belegen Verwerfungen und Verschiebungen, die bis nach Nicäa in Kleinasien spürbar waren. Die seismische Energie von 6,41×10²⁵ Joule beschreibt eine Kraftentfaltung von kosmischen Dimensionen.</w:t>
      </w:r>
    </w:p>
    <w:p w14:paraId="57EC5038" w14:textId="77777777" w:rsidR="00141719" w:rsidRPr="00141719" w:rsidRDefault="00F162EC" w:rsidP="00392762">
      <w:pPr>
        <w:pStyle w:val="berschrift2"/>
        <w:rPr>
          <w:rFonts w:eastAsia="Times New Roman"/>
          <w:lang w:eastAsia="de-DE"/>
        </w:rPr>
      </w:pPr>
      <w:r>
        <w:rPr>
          <w:rFonts w:eastAsia="Times New Roman"/>
          <w:lang w:eastAsia="de-DE"/>
        </w:rPr>
        <w:t>5.5.</w:t>
      </w:r>
      <w:r w:rsidR="00141719" w:rsidRPr="00141719">
        <w:rPr>
          <w:rFonts w:eastAsia="Times New Roman"/>
          <w:lang w:eastAsia="de-DE"/>
        </w:rPr>
        <w:t xml:space="preserve"> Wellenausbreitung</w:t>
      </w:r>
    </w:p>
    <w:p w14:paraId="53B5A745" w14:textId="77777777" w:rsidR="00141719" w:rsidRPr="00141719" w:rsidRDefault="00141719" w:rsidP="00C6615A">
      <w:p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Seismische Wellen:</w:t>
      </w:r>
      <w:r w:rsidRPr="00141719">
        <w:rPr>
          <w:rFonts w:ascii="Times New Roman" w:eastAsia="Times New Roman" w:hAnsi="Times New Roman"/>
          <w:lang w:eastAsia="de-DE"/>
        </w:rPr>
        <w:t xml:space="preserve"> </w:t>
      </w:r>
    </w:p>
    <w:p w14:paraId="27F49503" w14:textId="77777777" w:rsidR="00141719" w:rsidRPr="00141719" w:rsidRDefault="00141719" w:rsidP="001B6D02">
      <w:pPr>
        <w:numPr>
          <w:ilvl w:val="1"/>
          <w:numId w:val="1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P-Wellen: 5-8 km/s</w:t>
      </w:r>
    </w:p>
    <w:p w14:paraId="0896B772" w14:textId="77777777" w:rsidR="00141719" w:rsidRPr="00141719" w:rsidRDefault="00141719" w:rsidP="001B6D02">
      <w:pPr>
        <w:numPr>
          <w:ilvl w:val="1"/>
          <w:numId w:val="1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S-Wellen: 3-4 km/s</w:t>
      </w:r>
    </w:p>
    <w:p w14:paraId="6B79EAF2" w14:textId="77777777" w:rsidR="00141719" w:rsidRPr="00141719" w:rsidRDefault="00141719" w:rsidP="001B6D02">
      <w:pPr>
        <w:numPr>
          <w:ilvl w:val="1"/>
          <w:numId w:val="1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Oberflächenwellen: 2-3 km/s</w:t>
      </w:r>
    </w:p>
    <w:p w14:paraId="63859430" w14:textId="77777777" w:rsidR="00141719" w:rsidRPr="00141719" w:rsidRDefault="00141719" w:rsidP="00C6615A">
      <w:p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b/>
          <w:bCs/>
          <w:lang w:eastAsia="de-DE"/>
        </w:rPr>
        <w:t>Räumliche Ausdehnung:</w:t>
      </w:r>
      <w:r w:rsidRPr="00141719">
        <w:rPr>
          <w:rFonts w:ascii="Times New Roman" w:eastAsia="Times New Roman" w:hAnsi="Times New Roman"/>
          <w:lang w:eastAsia="de-DE"/>
        </w:rPr>
        <w:t xml:space="preserve"> </w:t>
      </w:r>
    </w:p>
    <w:p w14:paraId="0240B5E3" w14:textId="77777777" w:rsidR="00141719" w:rsidRPr="00141719" w:rsidRDefault="00141719" w:rsidP="001B6D02">
      <w:pPr>
        <w:numPr>
          <w:ilvl w:val="1"/>
          <w:numId w:val="1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Spürbar bis Nicäa (Kleinasien)</w:t>
      </w:r>
    </w:p>
    <w:p w14:paraId="7561E6C7" w14:textId="77777777" w:rsidR="00141719" w:rsidRPr="00141719" w:rsidRDefault="00141719" w:rsidP="001B6D02">
      <w:pPr>
        <w:numPr>
          <w:ilvl w:val="1"/>
          <w:numId w:val="1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Dokumentierte Schäden im Umkreis von ~100 km</w:t>
      </w:r>
    </w:p>
    <w:p w14:paraId="0F44C5EB" w14:textId="77777777" w:rsidR="00141719" w:rsidRDefault="00141719" w:rsidP="001B6D02">
      <w:pPr>
        <w:numPr>
          <w:ilvl w:val="1"/>
          <w:numId w:val="15"/>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Nachbeben über mehrere Stunden</w:t>
      </w:r>
    </w:p>
    <w:p w14:paraId="7DA6BC73" w14:textId="77777777" w:rsidR="00121292" w:rsidRDefault="00121292" w:rsidP="00121292">
      <w:pPr>
        <w:pStyle w:val="whitespace-pre-wrap"/>
      </w:pPr>
      <w:r>
        <w:t>Die Ausbreitung seismischer Wellen während des Erdbebens zur Zeit der Kreuzigung war ein komplexes geophysikalisches Phänomen, das weit mehr war als eine bloße geologische Aufzeichnung. Die verschiedenen Wellentypen beschrieben eine physikalische Choreographie von bemerkenswerter Präzision.</w:t>
      </w:r>
    </w:p>
    <w:p w14:paraId="56655835" w14:textId="77777777" w:rsidR="00121292" w:rsidRDefault="00121292" w:rsidP="00121292">
      <w:pPr>
        <w:pStyle w:val="whitespace-pre-wrap"/>
      </w:pPr>
      <w:r>
        <w:lastRenderedPageBreak/>
        <w:t>Die Primärwellen (P-Wellen) mit einer Ausbreitungsgeschwindigkeit von 5-8 Kilometern pro Sekunde durchquerten das Gestein wie ein unsichtbares Kommunikationsnetzwerk. Diese Longitudinalwellen, die sich durch Kompression und Dekompression fortpflanzen, waren die Vorboten der tektonischen Störung. Sie trugen Informationen der Erdkruste mit einer Geschwindigkeit, die jede menschliche Wahrnehmung überstieg.</w:t>
      </w:r>
    </w:p>
    <w:p w14:paraId="7E45E488" w14:textId="77777777" w:rsidR="00121292" w:rsidRDefault="00121292" w:rsidP="00121292">
      <w:pPr>
        <w:pStyle w:val="whitespace-pre-wrap"/>
      </w:pPr>
      <w:r>
        <w:t>Sekundärwellen (S-Wellen) folgten mit 3-4 Kilometern pro Sekunde. Diese Transversalwellen, die senkrecht zur Ausbreitungsrichtung schwingen, erzeugten die eigentliche zerstörerische Kraft. Sie rüttelten Fundamente, spalteten Gesteine und transformierten die Landschaft in einem Moment kosmischer Intervention.</w:t>
      </w:r>
    </w:p>
    <w:p w14:paraId="6EE31588" w14:textId="77777777" w:rsidR="00121292" w:rsidRDefault="00121292" w:rsidP="00121292">
      <w:pPr>
        <w:pStyle w:val="whitespace-pre-wrap"/>
      </w:pPr>
      <w:r>
        <w:t>Oberflächenwellen, mit 2-3 Kilometern pro Sekunde, vollführten die finale dramatische Bewegung. Sie wanderten entlang der Erdkruste und hinterließen sichtbare Spuren ihrer Passage. Gebäude schwankten, Straßen rissen auf, die Topographie wurde neu geschrieben.</w:t>
      </w:r>
    </w:p>
    <w:p w14:paraId="5A953AE2" w14:textId="77777777" w:rsidR="00121292" w:rsidRDefault="00121292" w:rsidP="00121292">
      <w:pPr>
        <w:pStyle w:val="whitespace-pre-wrap"/>
      </w:pPr>
      <w:r>
        <w:t xml:space="preserve">Die räumliche Ausdehnung dieses seismischen Ereignisses überstieg lokale Grenzen. Spürbar bis nach Nicäa in Kleinasien, dokumentierten Schäden einen Einflussbereich von etwa 100 Kilometern. </w:t>
      </w:r>
    </w:p>
    <w:p w14:paraId="3D28CD9F" w14:textId="77777777" w:rsidR="00121292" w:rsidRDefault="00121292" w:rsidP="00121292">
      <w:pPr>
        <w:pStyle w:val="whitespace-pre-wrap"/>
      </w:pPr>
      <w:r>
        <w:t>Historische Quellen wie Tertullian und Flavius Josephus deuten auf ungewöhnliche geologische Aktivitäten hin. Archäologische Befunde bestätigen Verwerfungen und Verschiebungen, die weit über Jerusalem hinausreichten.</w:t>
      </w:r>
    </w:p>
    <w:p w14:paraId="5C77B74A" w14:textId="77777777" w:rsidR="007F6E8F" w:rsidRDefault="007F6E8F" w:rsidP="007F6E8F">
      <w:pPr>
        <w:pStyle w:val="whitespace-pre-wrap"/>
      </w:pPr>
      <w:r>
        <w:t xml:space="preserve">Die berechneten Parameter zeigen, dass das Erdbeben stark genug war, um die beschriebenen Schäden zu verursachen, aber innerhalb physikalisch plausibler Grenzen blieb. Die Überlagerung </w:t>
      </w:r>
      <w:r>
        <w:lastRenderedPageBreak/>
        <w:t>verschiedener Wellentypen erzeugte komplexe Bodenbewegungen, die besonders für Bauwerke nahe ihrer Resonanzfrequenz gefährlich waren. Diese wissenschaftliche Analyse bestätigt die historischen Berichte über strukturelle Schäden, ohne dabei die Grenzen seismologischer Plausibilität zu überschreiten.</w:t>
      </w:r>
    </w:p>
    <w:p w14:paraId="6B2A1D71" w14:textId="77777777" w:rsidR="007F6E8F" w:rsidRDefault="007F6E8F" w:rsidP="00121292">
      <w:pPr>
        <w:pStyle w:val="whitespace-pre-wrap"/>
      </w:pPr>
      <w:r>
        <w:t>Die Berechnungen erklären auch, warum bestimmte Strukturen wie der Tempelvorhang oder Grabsteine betroffen waren, während andere Bauwerke intakt blieben - ein Effekt, der durch die unterschiedlichen Resonanzfrequenzen und Bauweisen bedingt war.</w:t>
      </w:r>
    </w:p>
    <w:p w14:paraId="5EB11447" w14:textId="77777777" w:rsidR="00935A04" w:rsidRPr="00935A04" w:rsidRDefault="00935A04" w:rsidP="00935A04">
      <w:pPr>
        <w:pStyle w:val="berschrift2"/>
        <w:rPr>
          <w:rFonts w:eastAsia="Times New Roman"/>
          <w:lang w:eastAsia="de-DE"/>
        </w:rPr>
      </w:pPr>
      <w:r w:rsidRPr="00935A04">
        <w:rPr>
          <w:rFonts w:eastAsia="Times New Roman"/>
          <w:lang w:eastAsia="de-DE"/>
        </w:rPr>
        <w:t>5.6. Blutmond</w:t>
      </w:r>
    </w:p>
    <w:p w14:paraId="484B0A62" w14:textId="77777777" w:rsidR="00935A04" w:rsidRPr="00935A04" w:rsidRDefault="00935A04" w:rsidP="00935A04">
      <w:p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Der bekannteste historisch dokumentierte "Blutmond" (totale Mondfinsternis) in Jerusalem, der oft mit der Kreuzigung in Verbindung gebracht wird, fand am 3. April 33 n. Chr. statt. Die Berechnungen zeigen:</w:t>
      </w:r>
    </w:p>
    <w:p w14:paraId="3874C87D" w14:textId="77777777" w:rsidR="00935A04" w:rsidRPr="00935A04" w:rsidRDefault="00935A04" w:rsidP="00714222">
      <w:pPr>
        <w:numPr>
          <w:ilvl w:val="0"/>
          <w:numId w:val="285"/>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Die Finsternis begann etwa um 17:45 Uhr Jerusalemer Lokalzeit.</w:t>
      </w:r>
    </w:p>
    <w:p w14:paraId="42B6589B" w14:textId="77777777" w:rsidR="00935A04" w:rsidRPr="00935A04" w:rsidRDefault="00935A04" w:rsidP="00714222">
      <w:pPr>
        <w:numPr>
          <w:ilvl w:val="0"/>
          <w:numId w:val="285"/>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Das Maximum der Finsternis wurde gegen 18:50 Uhr erreicht.</w:t>
      </w:r>
    </w:p>
    <w:p w14:paraId="07218F74" w14:textId="77777777" w:rsidR="00935A04" w:rsidRPr="00935A04" w:rsidRDefault="00935A04" w:rsidP="00714222">
      <w:pPr>
        <w:numPr>
          <w:ilvl w:val="0"/>
          <w:numId w:val="285"/>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Die Finsternis endete etwa um 19:55 Uhr.</w:t>
      </w:r>
    </w:p>
    <w:p w14:paraId="2A03760C" w14:textId="77777777" w:rsidR="00935A04" w:rsidRPr="00935A04" w:rsidRDefault="00935A04" w:rsidP="00935A04">
      <w:p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 xml:space="preserve">Bei dieser Mondfinsternis erschien der Mond rötlich (daher der Name "Blutmond"), was durch die Rayleigh-Streuung des Sonnenlichts in der Erdatmosphäre verursacht wurde. Diese Finsternis war von Jerusalem aus gut sichtbar. Wichtig zu erwähnen ist, dass dieser "Blutmond" besonders interessant ist, weil er mit dem jüdischen Pessachfest zusammenfiel, was auch der vermutete Zeitpunkt der Kreuzigung war. Die rötliche Färbung des Mondes während einer totalen Mondfinsternis wurde in vielen alten Kulturen als bedeutsames Zeichen interpretiert. Die Berechnung zeigt auch, dass es sich um einen Vollmond handelte, was mit den historischen Berichten übereinstimmt, da das Pessachfest </w:t>
      </w:r>
      <w:r w:rsidRPr="00935A04">
        <w:rPr>
          <w:rFonts w:ascii="Times New Roman" w:eastAsia="Times New Roman" w:hAnsi="Times New Roman"/>
          <w:lang w:eastAsia="de-DE"/>
        </w:rPr>
        <w:lastRenderedPageBreak/>
        <w:t>traditionell zur Zeit des Vollmonds gefeiert wird. Der Blutmond fand noch vor dem Datum der Kreuzigung statt:</w:t>
      </w:r>
    </w:p>
    <w:p w14:paraId="766D306B" w14:textId="77777777" w:rsidR="00935A04" w:rsidRPr="00935A04" w:rsidRDefault="00935A04" w:rsidP="00714222">
      <w:pPr>
        <w:numPr>
          <w:ilvl w:val="0"/>
          <w:numId w:val="286"/>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Der 3. April 33 n.Chr.:</w:t>
      </w:r>
    </w:p>
    <w:p w14:paraId="2EF9965F" w14:textId="77777777" w:rsidR="00935A04" w:rsidRPr="00935A04" w:rsidRDefault="00935A04" w:rsidP="00714222">
      <w:pPr>
        <w:numPr>
          <w:ilvl w:val="1"/>
          <w:numId w:val="286"/>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Historisch dokumentierte partielle Mondfinsternis</w:t>
      </w:r>
    </w:p>
    <w:p w14:paraId="517CBCA1" w14:textId="77777777" w:rsidR="00935A04" w:rsidRPr="00935A04" w:rsidRDefault="00935A04" w:rsidP="00714222">
      <w:pPr>
        <w:numPr>
          <w:ilvl w:val="1"/>
          <w:numId w:val="286"/>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Fiel mit dem Pessachfest zusammen</w:t>
      </w:r>
    </w:p>
    <w:p w14:paraId="5099F1E4" w14:textId="77777777" w:rsidR="00935A04" w:rsidRPr="00935A04" w:rsidRDefault="00935A04" w:rsidP="00714222">
      <w:pPr>
        <w:numPr>
          <w:ilvl w:val="1"/>
          <w:numId w:val="286"/>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Die Mondphase passt zu einem Vollmond</w:t>
      </w:r>
    </w:p>
    <w:p w14:paraId="3A7CA0DB" w14:textId="77777777" w:rsidR="00935A04" w:rsidRPr="00935A04" w:rsidRDefault="00935A04" w:rsidP="00714222">
      <w:pPr>
        <w:numPr>
          <w:ilvl w:val="0"/>
          <w:numId w:val="286"/>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Der 15. April 33 n.Chr.:</w:t>
      </w:r>
    </w:p>
    <w:p w14:paraId="4E62A439" w14:textId="77777777" w:rsidR="00935A04" w:rsidRPr="00935A04" w:rsidRDefault="00935A04" w:rsidP="00714222">
      <w:pPr>
        <w:numPr>
          <w:ilvl w:val="1"/>
          <w:numId w:val="286"/>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Ebenfalls nahe am Vollmond</w:t>
      </w:r>
    </w:p>
    <w:p w14:paraId="41225572" w14:textId="77777777" w:rsidR="00935A04" w:rsidRPr="00935A04" w:rsidRDefault="00935A04" w:rsidP="00714222">
      <w:pPr>
        <w:numPr>
          <w:ilvl w:val="1"/>
          <w:numId w:val="286"/>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Keine dokumentierte Mondfinsternis</w:t>
      </w:r>
    </w:p>
    <w:p w14:paraId="2F0425C7" w14:textId="77777777" w:rsidR="00935A04" w:rsidRPr="00935A04" w:rsidRDefault="00935A04" w:rsidP="00714222">
      <w:pPr>
        <w:numPr>
          <w:ilvl w:val="1"/>
          <w:numId w:val="286"/>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Astronomisch möglich als Datum für das Pessachfest</w:t>
      </w:r>
    </w:p>
    <w:p w14:paraId="12833E24" w14:textId="77777777" w:rsidR="00935A04" w:rsidRPr="00935A04" w:rsidRDefault="00935A04" w:rsidP="00935A04">
      <w:p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Wichtige Überlegungen:</w:t>
      </w:r>
    </w:p>
    <w:p w14:paraId="342E2431" w14:textId="77777777" w:rsidR="00935A04" w:rsidRPr="00935A04" w:rsidRDefault="00935A04" w:rsidP="00714222">
      <w:pPr>
        <w:numPr>
          <w:ilvl w:val="0"/>
          <w:numId w:val="287"/>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Beide Daten wären astronomisch mit dem jüdischen Kalender vereinbar, da das Pessachfest am Vollmond gefeiert wurde.</w:t>
      </w:r>
    </w:p>
    <w:p w14:paraId="1662A667" w14:textId="77777777" w:rsidR="00935A04" w:rsidRPr="00935A04" w:rsidRDefault="00935A04" w:rsidP="00714222">
      <w:pPr>
        <w:numPr>
          <w:ilvl w:val="0"/>
          <w:numId w:val="287"/>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Die dokumentierte Mondfinsternis am 3. April spricht für dieses Datum.</w:t>
      </w:r>
    </w:p>
    <w:p w14:paraId="3F3167D6" w14:textId="77777777" w:rsidR="00935A04" w:rsidRPr="00935A04" w:rsidRDefault="00935A04" w:rsidP="00714222">
      <w:pPr>
        <w:numPr>
          <w:ilvl w:val="0"/>
          <w:numId w:val="287"/>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Der 15. April hätte zwar einen Vollmond, aber keine Finsternis.</w:t>
      </w:r>
    </w:p>
    <w:p w14:paraId="183E56C7" w14:textId="77777777" w:rsidR="00935A04" w:rsidRPr="00935A04" w:rsidRDefault="00935A04" w:rsidP="00935A04">
      <w:p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In Bezug auf die prophetischen Texte (Joel 3,3-5 und Apg 2,19-21) wäre der 3. April als Datum überzeugender, da hier tatsächlich das Phänomen des "Blutmonds" durch die Mondfinsternis auftrat. Allerdings gibt es in der Forschung auch andere Kriterien für die Datierung (wie kalendarische Überlegungen zum jüdischen Kalender, historische Quellen über Pontius Pilatus etc.), die für den 15. April sprechen könnten. Die astronomischen Daten allein können die Frage nicht endgültig klären.</w:t>
      </w:r>
    </w:p>
    <w:p w14:paraId="44E0CEE2" w14:textId="77777777" w:rsidR="00935A04" w:rsidRPr="00935A04" w:rsidRDefault="00935A04" w:rsidP="00935A04">
      <w:p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Basierend auf den astronomischen Berechnungen gibt es zwei kommende totale Mondfinsternisse ("Blutmonde") für Jerusalem:</w:t>
      </w:r>
    </w:p>
    <w:p w14:paraId="43C0E634" w14:textId="77777777" w:rsidR="00935A04" w:rsidRPr="00935A04" w:rsidRDefault="00935A04" w:rsidP="00714222">
      <w:pPr>
        <w:numPr>
          <w:ilvl w:val="1"/>
          <w:numId w:val="288"/>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lastRenderedPageBreak/>
        <w:t>März 2025: Diese wird in Jerusalem nur teilweise sichtbar sein, in den frühen Morgenstunden. Nicht optimal für Beobachtung.</w:t>
      </w:r>
    </w:p>
    <w:p w14:paraId="1B92C20C" w14:textId="77777777" w:rsidR="00935A04" w:rsidRPr="00935A04" w:rsidRDefault="00935A04" w:rsidP="00714222">
      <w:pPr>
        <w:numPr>
          <w:ilvl w:val="1"/>
          <w:numId w:val="288"/>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September 2025 (Der nächste gut sichtbare Blutmond) Jerusalemer Lokalzeit:</w:t>
      </w:r>
    </w:p>
    <w:p w14:paraId="1CEED146" w14:textId="77777777" w:rsidR="00935A04" w:rsidRPr="00935A04" w:rsidRDefault="00935A04" w:rsidP="00714222">
      <w:pPr>
        <w:numPr>
          <w:ilvl w:val="2"/>
          <w:numId w:val="289"/>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Beginn: 21:37 Uhr</w:t>
      </w:r>
    </w:p>
    <w:p w14:paraId="793465B5" w14:textId="77777777" w:rsidR="00935A04" w:rsidRPr="00935A04" w:rsidRDefault="00935A04" w:rsidP="00714222">
      <w:pPr>
        <w:numPr>
          <w:ilvl w:val="2"/>
          <w:numId w:val="289"/>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Maximum: 23:12 Uhr</w:t>
      </w:r>
    </w:p>
    <w:p w14:paraId="2485E0BE" w14:textId="77777777" w:rsidR="00935A04" w:rsidRPr="00935A04" w:rsidRDefault="00935A04" w:rsidP="00714222">
      <w:pPr>
        <w:numPr>
          <w:ilvl w:val="2"/>
          <w:numId w:val="289"/>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Ende: 00:47 Uhr (am 8. September)</w:t>
      </w:r>
    </w:p>
    <w:p w14:paraId="274A0A15" w14:textId="77777777" w:rsidR="00935A04" w:rsidRPr="00935A04" w:rsidRDefault="00935A04" w:rsidP="00935A04">
      <w:p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Der 7. September 2025 wird die beste Gelegenheit sein, einen Blutmond in Jerusalem zu beobachten, da:</w:t>
      </w:r>
    </w:p>
    <w:p w14:paraId="08F93942" w14:textId="77777777" w:rsidR="00935A04" w:rsidRPr="00935A04" w:rsidRDefault="00935A04" w:rsidP="00714222">
      <w:pPr>
        <w:numPr>
          <w:ilvl w:val="0"/>
          <w:numId w:val="290"/>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Die Finsternis in den Abendstunden stattfindet.</w:t>
      </w:r>
    </w:p>
    <w:p w14:paraId="41D0AE6D" w14:textId="77777777" w:rsidR="00935A04" w:rsidRPr="00935A04" w:rsidRDefault="00935A04" w:rsidP="00714222">
      <w:pPr>
        <w:numPr>
          <w:ilvl w:val="0"/>
          <w:numId w:val="290"/>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Die gesamte Finsternis von Jerusalem aus sichtbar sein wird.</w:t>
      </w:r>
    </w:p>
    <w:p w14:paraId="00A51C22" w14:textId="77777777" w:rsidR="00935A04" w:rsidRPr="00935A04" w:rsidRDefault="00935A04" w:rsidP="00714222">
      <w:pPr>
        <w:numPr>
          <w:ilvl w:val="0"/>
          <w:numId w:val="290"/>
        </w:num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Die Beobachtungsbedingungen optimal sein werden (vorausgesetzt klarer Himmel).</w:t>
      </w:r>
    </w:p>
    <w:p w14:paraId="33725573" w14:textId="77777777" w:rsidR="00935A04" w:rsidRPr="00935A04" w:rsidRDefault="00935A04" w:rsidP="00935A04">
      <w:pPr>
        <w:spacing w:before="100" w:beforeAutospacing="1" w:after="100" w:afterAutospacing="1"/>
        <w:rPr>
          <w:rFonts w:ascii="Times New Roman" w:eastAsia="Times New Roman" w:hAnsi="Times New Roman"/>
          <w:lang w:eastAsia="de-DE"/>
        </w:rPr>
      </w:pPr>
      <w:r w:rsidRPr="00935A04">
        <w:rPr>
          <w:rFonts w:ascii="Times New Roman" w:eastAsia="Times New Roman" w:hAnsi="Times New Roman"/>
          <w:lang w:eastAsia="de-DE"/>
        </w:rPr>
        <w:t>Diese totale Mondfinsternis wird besonders gut zu beobachten sein, da sie in die Abendstunden fällt und der Mond bereits aufgegangen sein wird, wenn die Finsternis beginnt.</w:t>
      </w:r>
    </w:p>
    <w:p w14:paraId="08074118" w14:textId="77777777" w:rsidR="00CB1EAC" w:rsidRDefault="00FE593D" w:rsidP="00CB1EAC">
      <w:pPr>
        <w:pStyle w:val="berschrift2"/>
        <w:rPr>
          <w:rFonts w:eastAsia="Times New Roman"/>
          <w:lang w:eastAsia="de-DE"/>
        </w:rPr>
      </w:pPr>
      <w:r w:rsidRPr="00FE593D">
        <w:rPr>
          <w:rFonts w:eastAsia="Times New Roman"/>
          <w:lang w:eastAsia="de-DE"/>
        </w:rPr>
        <w:t>5.</w:t>
      </w:r>
      <w:r w:rsidR="00CB1EAC">
        <w:rPr>
          <w:rFonts w:eastAsia="Times New Roman"/>
          <w:lang w:eastAsia="de-DE"/>
        </w:rPr>
        <w:t>7</w:t>
      </w:r>
      <w:r w:rsidR="00392762">
        <w:rPr>
          <w:rFonts w:eastAsia="Times New Roman"/>
          <w:lang w:eastAsia="de-DE"/>
        </w:rPr>
        <w:t>.</w:t>
      </w:r>
      <w:r w:rsidRPr="00FE593D">
        <w:rPr>
          <w:rFonts w:eastAsia="Times New Roman"/>
          <w:lang w:eastAsia="de-DE"/>
        </w:rPr>
        <w:t xml:space="preserve"> Werkzeuge und Gegenstände der Kreuzigung</w:t>
      </w:r>
    </w:p>
    <w:p w14:paraId="60061E4C" w14:textId="77777777" w:rsidR="00CB1EAC" w:rsidRDefault="00CB1EAC" w:rsidP="00CB1EAC">
      <w:pPr>
        <w:rPr>
          <w:rFonts w:eastAsia="Times New Roman"/>
          <w:lang w:eastAsia="de-DE"/>
        </w:rPr>
      </w:pPr>
    </w:p>
    <w:p w14:paraId="4D4CCBE6" w14:textId="77777777" w:rsidR="00FE593D" w:rsidRPr="00CB1EAC" w:rsidRDefault="00CB1EAC" w:rsidP="00CB1EAC">
      <w:pPr>
        <w:pStyle w:val="berschrift3"/>
        <w:rPr>
          <w:rFonts w:eastAsia="Times New Roman"/>
          <w:lang w:eastAsia="de-DE"/>
        </w:rPr>
      </w:pPr>
      <w:r>
        <w:rPr>
          <w:rFonts w:eastAsia="Times New Roman"/>
          <w:lang w:eastAsia="de-DE"/>
        </w:rPr>
        <w:t xml:space="preserve">5.7.1. </w:t>
      </w:r>
      <w:r w:rsidR="00FE593D" w:rsidRPr="00CB1EAC">
        <w:rPr>
          <w:rFonts w:eastAsia="Times New Roman"/>
          <w:lang w:eastAsia="de-DE"/>
        </w:rPr>
        <w:t>Überblick der Gegenstände</w:t>
      </w:r>
      <w:r>
        <w:rPr>
          <w:rFonts w:eastAsia="Times New Roman"/>
          <w:lang w:eastAsia="de-DE"/>
        </w:rPr>
        <w:t>:</w:t>
      </w:r>
    </w:p>
    <w:p w14:paraId="38B7D023" w14:textId="77777777" w:rsidR="00FE593D" w:rsidRPr="00FE593D" w:rsidRDefault="00FE593D" w:rsidP="001B6D02">
      <w:pPr>
        <w:numPr>
          <w:ilvl w:val="0"/>
          <w:numId w:val="100"/>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Lancea (römischer Speer)</w:t>
      </w:r>
    </w:p>
    <w:p w14:paraId="48C69CD3" w14:textId="77777777" w:rsidR="00FE593D" w:rsidRPr="00FE593D" w:rsidRDefault="00FE593D" w:rsidP="001B6D02">
      <w:pPr>
        <w:numPr>
          <w:ilvl w:val="0"/>
          <w:numId w:val="100"/>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Essigschwamm auf Ysopstängel</w:t>
      </w:r>
    </w:p>
    <w:p w14:paraId="32EF6CDA" w14:textId="77777777" w:rsidR="00FE593D" w:rsidRPr="00FE593D" w:rsidRDefault="00FE593D" w:rsidP="001B6D02">
      <w:pPr>
        <w:numPr>
          <w:ilvl w:val="0"/>
          <w:numId w:val="100"/>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Getränkemischungen (Myrrhenwein, Essigwasser)</w:t>
      </w:r>
    </w:p>
    <w:p w14:paraId="3D047D92" w14:textId="77777777" w:rsidR="00FE593D" w:rsidRPr="00FE593D" w:rsidRDefault="00FE593D" w:rsidP="001B6D02">
      <w:pPr>
        <w:numPr>
          <w:ilvl w:val="0"/>
          <w:numId w:val="100"/>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Nägel (mindestens drei)</w:t>
      </w:r>
    </w:p>
    <w:p w14:paraId="141BBDC8" w14:textId="77777777" w:rsidR="00FE593D" w:rsidRPr="00FE593D" w:rsidRDefault="00FE593D" w:rsidP="001B6D02">
      <w:pPr>
        <w:numPr>
          <w:ilvl w:val="0"/>
          <w:numId w:val="100"/>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Titulus (Kreuzesinschrift)</w:t>
      </w:r>
    </w:p>
    <w:p w14:paraId="5CE65FB7" w14:textId="77777777" w:rsidR="00FE593D" w:rsidRPr="00FE593D" w:rsidRDefault="00FE593D" w:rsidP="001B6D02">
      <w:pPr>
        <w:numPr>
          <w:ilvl w:val="0"/>
          <w:numId w:val="100"/>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Seile für Fixierung und Aufrichtung</w:t>
      </w:r>
    </w:p>
    <w:p w14:paraId="7E2BBC02" w14:textId="77777777" w:rsidR="00FE593D" w:rsidRPr="00FE593D" w:rsidRDefault="00FE593D" w:rsidP="001B6D02">
      <w:pPr>
        <w:numPr>
          <w:ilvl w:val="0"/>
          <w:numId w:val="100"/>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Werkzeuge für die Kreuzabnahme</w:t>
      </w:r>
    </w:p>
    <w:p w14:paraId="2AE54C4C" w14:textId="77777777" w:rsidR="00CB1EAC" w:rsidRPr="00CB1EAC" w:rsidRDefault="00CB1EAC" w:rsidP="00CB1EAC">
      <w:pPr>
        <w:pStyle w:val="berschrift3"/>
        <w:rPr>
          <w:rFonts w:eastAsia="Times New Roman"/>
          <w:lang w:eastAsia="de-DE"/>
        </w:rPr>
      </w:pPr>
      <w:r>
        <w:rPr>
          <w:rFonts w:eastAsia="Times New Roman"/>
          <w:lang w:eastAsia="de-DE"/>
        </w:rPr>
        <w:lastRenderedPageBreak/>
        <w:t xml:space="preserve">5.7.2. </w:t>
      </w:r>
      <w:r w:rsidR="00FE593D" w:rsidRPr="00FE593D">
        <w:rPr>
          <w:rFonts w:eastAsia="Times New Roman"/>
          <w:lang w:eastAsia="de-DE"/>
        </w:rPr>
        <w:t>Die Lancea des Longinus</w:t>
      </w:r>
    </w:p>
    <w:p w14:paraId="2879E96A" w14:textId="77777777" w:rsidR="00FE593D" w:rsidRPr="00FE593D" w:rsidRDefault="00FE593D" w:rsidP="00C6615A">
      <w:p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b/>
          <w:bCs/>
          <w:lang w:eastAsia="de-DE"/>
        </w:rPr>
        <w:t>Minimale Länge zur Erreichung der Herzregion:</w:t>
      </w:r>
      <w:r w:rsidRPr="00FE593D">
        <w:rPr>
          <w:rFonts w:ascii="Times New Roman" w:eastAsia="Times New Roman" w:hAnsi="Times New Roman"/>
          <w:lang w:eastAsia="de-DE"/>
        </w:rPr>
        <w:t xml:space="preserve"> </w:t>
      </w:r>
    </w:p>
    <w:p w14:paraId="3EF624A1" w14:textId="77777777" w:rsidR="00FE593D" w:rsidRPr="00FE593D" w:rsidRDefault="00FE593D" w:rsidP="001B6D02">
      <w:pPr>
        <w:numPr>
          <w:ilvl w:val="1"/>
          <w:numId w:val="101"/>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Höhe des Kreuzes: ~2,75m über Grund</w:t>
      </w:r>
    </w:p>
    <w:p w14:paraId="27FBB0AD" w14:textId="77777777" w:rsidR="00FE593D" w:rsidRPr="00FE593D" w:rsidRDefault="00FE593D" w:rsidP="001B6D02">
      <w:pPr>
        <w:numPr>
          <w:ilvl w:val="1"/>
          <w:numId w:val="101"/>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Höhe der Brustkorbregion: ~2,10m über Grund</w:t>
      </w:r>
    </w:p>
    <w:p w14:paraId="10595B5D" w14:textId="77777777" w:rsidR="00FE593D" w:rsidRPr="00FE593D" w:rsidRDefault="00FE593D" w:rsidP="001B6D02">
      <w:pPr>
        <w:numPr>
          <w:ilvl w:val="1"/>
          <w:numId w:val="101"/>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Länge des Soldatenarms: ~0,70m</w:t>
      </w:r>
    </w:p>
    <w:p w14:paraId="0B40338D" w14:textId="77777777" w:rsidR="00FE593D" w:rsidRPr="00FE593D" w:rsidRDefault="00FE593D" w:rsidP="001B6D02">
      <w:pPr>
        <w:numPr>
          <w:ilvl w:val="1"/>
          <w:numId w:val="101"/>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Notwendige Eindringtiefe: ~0,15m</w:t>
      </w:r>
    </w:p>
    <w:p w14:paraId="7F505D1C" w14:textId="77777777" w:rsidR="00FE593D" w:rsidRPr="00FE593D" w:rsidRDefault="00FE593D" w:rsidP="001B6D02">
      <w:pPr>
        <w:numPr>
          <w:ilvl w:val="1"/>
          <w:numId w:val="101"/>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Sicherheitsabstand zum Kreuz: ~0,50m</w:t>
      </w:r>
    </w:p>
    <w:p w14:paraId="5CD4306D" w14:textId="77777777" w:rsidR="00FE593D" w:rsidRPr="00FE593D" w:rsidRDefault="00FE593D" w:rsidP="001B6D02">
      <w:pPr>
        <w:numPr>
          <w:ilvl w:val="1"/>
          <w:numId w:val="101"/>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b/>
          <w:bCs/>
          <w:lang w:eastAsia="de-DE"/>
        </w:rPr>
        <w:t>Berechnete Mindestlänge: 2,05m</w:t>
      </w:r>
    </w:p>
    <w:p w14:paraId="302CBBA7" w14:textId="77777777" w:rsidR="00FE593D" w:rsidRPr="00CB1EAC" w:rsidRDefault="00FE593D" w:rsidP="00CB1EAC">
      <w:pPr>
        <w:rPr>
          <w:rFonts w:ascii="Times New Roman" w:eastAsia="Times New Roman" w:hAnsi="Times New Roman"/>
          <w:b/>
          <w:bCs/>
          <w:lang w:eastAsia="de-DE"/>
        </w:rPr>
      </w:pPr>
      <w:r w:rsidRPr="00CB1EAC">
        <w:rPr>
          <w:rFonts w:ascii="Times New Roman" w:eastAsia="Times New Roman" w:hAnsi="Times New Roman"/>
          <w:b/>
          <w:bCs/>
          <w:lang w:eastAsia="de-DE"/>
        </w:rPr>
        <w:t>Berechnung der Mindestlänge</w:t>
      </w:r>
    </w:p>
    <w:p w14:paraId="47802EF5" w14:textId="77777777" w:rsidR="00FE593D" w:rsidRPr="007D1FE8" w:rsidRDefault="00FE593D" w:rsidP="00FE593D">
      <w:pPr>
        <w:spacing w:before="100" w:beforeAutospacing="1" w:after="100" w:afterAutospacing="1"/>
        <w:rPr>
          <w:rFonts w:ascii="Times New Roman" w:eastAsia="Times New Roman" w:hAnsi="Times New Roman"/>
          <w:lang w:val="en-US" w:eastAsia="de-DE"/>
        </w:rPr>
      </w:pPr>
      <w:r w:rsidRPr="007D1FE8">
        <w:rPr>
          <w:rFonts w:ascii="Times New Roman" w:eastAsia="Times New Roman" w:hAnsi="Times New Roman"/>
          <w:lang w:val="en-US" w:eastAsia="de-DE"/>
        </w:rPr>
        <w:t>L = H - A + E + S Wobei:</w:t>
      </w:r>
    </w:p>
    <w:p w14:paraId="05D8240C" w14:textId="77777777" w:rsidR="00FE593D" w:rsidRPr="00FE593D" w:rsidRDefault="00FE593D" w:rsidP="001B6D02">
      <w:pPr>
        <w:numPr>
          <w:ilvl w:val="0"/>
          <w:numId w:val="102"/>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L = Länge der Lanze</w:t>
      </w:r>
    </w:p>
    <w:p w14:paraId="2216A387" w14:textId="77777777" w:rsidR="00FE593D" w:rsidRPr="00FE593D" w:rsidRDefault="00FE593D" w:rsidP="001B6D02">
      <w:pPr>
        <w:numPr>
          <w:ilvl w:val="0"/>
          <w:numId w:val="102"/>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H = Höhe der Zielregion (2,10m)</w:t>
      </w:r>
    </w:p>
    <w:p w14:paraId="4A12A8CD" w14:textId="77777777" w:rsidR="00FE593D" w:rsidRPr="00FE593D" w:rsidRDefault="00FE593D" w:rsidP="001B6D02">
      <w:pPr>
        <w:numPr>
          <w:ilvl w:val="0"/>
          <w:numId w:val="102"/>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A = Armlänge des Soldaten (0,70m)</w:t>
      </w:r>
    </w:p>
    <w:p w14:paraId="0BF0CD58" w14:textId="77777777" w:rsidR="00FE593D" w:rsidRPr="00FE593D" w:rsidRDefault="00FE593D" w:rsidP="001B6D02">
      <w:pPr>
        <w:numPr>
          <w:ilvl w:val="0"/>
          <w:numId w:val="102"/>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E = Eindringtiefe (0,15m)</w:t>
      </w:r>
    </w:p>
    <w:p w14:paraId="618F4136" w14:textId="77777777" w:rsidR="00FE593D" w:rsidRPr="00FE593D" w:rsidRDefault="00FE593D" w:rsidP="001B6D02">
      <w:pPr>
        <w:numPr>
          <w:ilvl w:val="0"/>
          <w:numId w:val="102"/>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S = Sicherheitsabstand (0,50m)</w:t>
      </w:r>
    </w:p>
    <w:p w14:paraId="671C2A7B" w14:textId="77777777" w:rsidR="00FE593D" w:rsidRDefault="00FE593D" w:rsidP="00FE593D">
      <w:p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2,10m - 0,70m + 0,15m + 0,50m = 2,05m</w:t>
      </w:r>
    </w:p>
    <w:p w14:paraId="44EAFD9C" w14:textId="77777777" w:rsidR="00DF156F" w:rsidRPr="00FE593D" w:rsidRDefault="00DF156F" w:rsidP="00FE593D">
      <w:p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noProof/>
          <w:lang w:eastAsia="de-DE"/>
        </w:rPr>
        <w:lastRenderedPageBreak/>
        <w:drawing>
          <wp:inline distT="0" distB="0" distL="0" distR="0" wp14:anchorId="3435396A" wp14:editId="6A8F0C11">
            <wp:extent cx="4373634" cy="3650285"/>
            <wp:effectExtent l="0" t="0" r="8255" b="762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81447" cy="3656806"/>
                    </a:xfrm>
                    <a:prstGeom prst="rect">
                      <a:avLst/>
                    </a:prstGeom>
                  </pic:spPr>
                </pic:pic>
              </a:graphicData>
            </a:graphic>
          </wp:inline>
        </w:drawing>
      </w:r>
    </w:p>
    <w:p w14:paraId="075FD8EA" w14:textId="77777777" w:rsidR="00DF156F" w:rsidRPr="00DF156F" w:rsidRDefault="00DF156F" w:rsidP="00DF156F">
      <w:p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Die technische Zeichnung visualisiert:</w:t>
      </w:r>
    </w:p>
    <w:p w14:paraId="79EDC294" w14:textId="77777777" w:rsidR="00DF156F" w:rsidRPr="00DF156F" w:rsidRDefault="00DF156F" w:rsidP="00714222">
      <w:pPr>
        <w:numPr>
          <w:ilvl w:val="0"/>
          <w:numId w:val="179"/>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Geometrische Verhältnisse:</w:t>
      </w:r>
    </w:p>
    <w:p w14:paraId="4095897D" w14:textId="77777777" w:rsidR="00DF156F" w:rsidRPr="00DF156F" w:rsidRDefault="00DF156F" w:rsidP="00714222">
      <w:pPr>
        <w:numPr>
          <w:ilvl w:val="0"/>
          <w:numId w:val="180"/>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Kreuzeshöhe (2,75m)</w:t>
      </w:r>
    </w:p>
    <w:p w14:paraId="307748F0" w14:textId="77777777" w:rsidR="00DF156F" w:rsidRPr="00DF156F" w:rsidRDefault="00DF156F" w:rsidP="00714222">
      <w:pPr>
        <w:numPr>
          <w:ilvl w:val="0"/>
          <w:numId w:val="180"/>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Höhe der Brustkorbregion (2,10m)</w:t>
      </w:r>
    </w:p>
    <w:p w14:paraId="416F71AA" w14:textId="77777777" w:rsidR="00DF156F" w:rsidRPr="00DF156F" w:rsidRDefault="00DF156F" w:rsidP="00714222">
      <w:pPr>
        <w:numPr>
          <w:ilvl w:val="0"/>
          <w:numId w:val="180"/>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Position des Soldaten</w:t>
      </w:r>
    </w:p>
    <w:p w14:paraId="7A4DADD9" w14:textId="77777777" w:rsidR="00DF156F" w:rsidRPr="00DF156F" w:rsidRDefault="00DF156F" w:rsidP="00714222">
      <w:pPr>
        <w:numPr>
          <w:ilvl w:val="0"/>
          <w:numId w:val="180"/>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Länge der Lanze (2,05m)</w:t>
      </w:r>
    </w:p>
    <w:p w14:paraId="33B39E4D" w14:textId="77777777" w:rsidR="00DF156F" w:rsidRPr="00DF156F" w:rsidRDefault="00DF156F" w:rsidP="00714222">
      <w:pPr>
        <w:numPr>
          <w:ilvl w:val="0"/>
          <w:numId w:val="181"/>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Relevante Abstände:</w:t>
      </w:r>
    </w:p>
    <w:p w14:paraId="598F7C96" w14:textId="77777777" w:rsidR="00DF156F" w:rsidRPr="00DF156F" w:rsidRDefault="00DF156F" w:rsidP="00714222">
      <w:pPr>
        <w:numPr>
          <w:ilvl w:val="0"/>
          <w:numId w:val="182"/>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Armlänge des Soldaten (0,70m)</w:t>
      </w:r>
    </w:p>
    <w:p w14:paraId="0994AFB2" w14:textId="77777777" w:rsidR="00DF156F" w:rsidRPr="00DF156F" w:rsidRDefault="00DF156F" w:rsidP="00714222">
      <w:pPr>
        <w:numPr>
          <w:ilvl w:val="0"/>
          <w:numId w:val="182"/>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Notwendige Eindringtiefe (0,15m)</w:t>
      </w:r>
    </w:p>
    <w:p w14:paraId="2440AA69" w14:textId="77777777" w:rsidR="00DF156F" w:rsidRPr="00DF156F" w:rsidRDefault="00DF156F" w:rsidP="00714222">
      <w:pPr>
        <w:numPr>
          <w:ilvl w:val="0"/>
          <w:numId w:val="182"/>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lastRenderedPageBreak/>
        <w:t>Sicherheitsabstand zum Kreuz (0,50m)</w:t>
      </w:r>
    </w:p>
    <w:p w14:paraId="3A3D0090" w14:textId="77777777" w:rsidR="00DF156F" w:rsidRPr="00DF156F" w:rsidRDefault="00DF156F" w:rsidP="00714222">
      <w:pPr>
        <w:numPr>
          <w:ilvl w:val="0"/>
          <w:numId w:val="183"/>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Berechnungsformel:</w:t>
      </w:r>
    </w:p>
    <w:p w14:paraId="60C6D18A" w14:textId="77777777" w:rsidR="00DF156F" w:rsidRPr="00DF156F" w:rsidRDefault="00DF156F" w:rsidP="00714222">
      <w:pPr>
        <w:numPr>
          <w:ilvl w:val="0"/>
          <w:numId w:val="184"/>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Darstellung aller Variablen</w:t>
      </w:r>
    </w:p>
    <w:p w14:paraId="5B574BCC" w14:textId="77777777" w:rsidR="00DF156F" w:rsidRPr="00DF156F" w:rsidRDefault="00DF156F" w:rsidP="00714222">
      <w:pPr>
        <w:numPr>
          <w:ilvl w:val="0"/>
          <w:numId w:val="184"/>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Mathematische Beziehung</w:t>
      </w:r>
    </w:p>
    <w:p w14:paraId="242F1413" w14:textId="77777777" w:rsidR="00DF156F" w:rsidRPr="00DF156F" w:rsidRDefault="00DF156F" w:rsidP="00714222">
      <w:pPr>
        <w:numPr>
          <w:ilvl w:val="0"/>
          <w:numId w:val="184"/>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Resultierendes Ergebnis</w:t>
      </w:r>
    </w:p>
    <w:p w14:paraId="65F5B781" w14:textId="77777777" w:rsidR="00DF156F" w:rsidRPr="00C6615A" w:rsidRDefault="00DF156F" w:rsidP="00C6615A">
      <w:p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Die Visualisierung macht deutlich, wie die minimale Lanzenlänge von 2,05m durch die verschiedenen geometrische</w:t>
      </w:r>
      <w:r w:rsidR="00C6615A">
        <w:rPr>
          <w:rFonts w:ascii="Times New Roman" w:eastAsia="Times New Roman" w:hAnsi="Times New Roman"/>
          <w:lang w:eastAsia="de-DE"/>
        </w:rPr>
        <w:t xml:space="preserve">n Anforderungen bestimmt wird. </w:t>
      </w:r>
    </w:p>
    <w:p w14:paraId="58F202C5" w14:textId="77777777" w:rsidR="00FE593D" w:rsidRPr="00FE593D" w:rsidRDefault="00CB1EAC" w:rsidP="00CB1EAC">
      <w:pPr>
        <w:pStyle w:val="berschrift3"/>
        <w:rPr>
          <w:rFonts w:eastAsia="Times New Roman"/>
          <w:lang w:eastAsia="de-DE"/>
        </w:rPr>
      </w:pPr>
      <w:r>
        <w:rPr>
          <w:rFonts w:eastAsia="Times New Roman"/>
          <w:lang w:eastAsia="de-DE"/>
        </w:rPr>
        <w:t xml:space="preserve">5.7.3. </w:t>
      </w:r>
      <w:r w:rsidR="00FE593D" w:rsidRPr="00FE593D">
        <w:rPr>
          <w:rFonts w:eastAsia="Times New Roman"/>
          <w:lang w:eastAsia="de-DE"/>
        </w:rPr>
        <w:t>Getränke und Substanzen</w:t>
      </w:r>
    </w:p>
    <w:p w14:paraId="2D974106" w14:textId="77777777" w:rsidR="00FE593D" w:rsidRPr="00C6615A" w:rsidRDefault="00CB1EAC" w:rsidP="00CB1EAC">
      <w:pPr>
        <w:pStyle w:val="berschrift3"/>
        <w:rPr>
          <w:rFonts w:eastAsia="Times New Roman"/>
          <w:lang w:eastAsia="de-DE"/>
        </w:rPr>
      </w:pPr>
      <w:r>
        <w:rPr>
          <w:rFonts w:eastAsia="Times New Roman"/>
          <w:lang w:eastAsia="de-DE"/>
        </w:rPr>
        <w:t xml:space="preserve">5.7.4. </w:t>
      </w:r>
      <w:r w:rsidR="00FE593D" w:rsidRPr="00C6615A">
        <w:rPr>
          <w:rFonts w:eastAsia="Times New Roman"/>
          <w:lang w:eastAsia="de-DE"/>
        </w:rPr>
        <w:t>Myrrhenwein (vor der Kreuzigung)</w:t>
      </w:r>
    </w:p>
    <w:p w14:paraId="19F961BA" w14:textId="77777777" w:rsidR="00FE593D" w:rsidRPr="00FE593D" w:rsidRDefault="00FE593D" w:rsidP="001B6D02">
      <w:pPr>
        <w:numPr>
          <w:ilvl w:val="0"/>
          <w:numId w:val="103"/>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Zusammensetzung: Wein mit Myrrhe als Betäubungsmittel</w:t>
      </w:r>
    </w:p>
    <w:p w14:paraId="48C1E008" w14:textId="77777777" w:rsidR="00FE593D" w:rsidRPr="00FE593D" w:rsidRDefault="00FE593D" w:rsidP="001B6D02">
      <w:pPr>
        <w:numPr>
          <w:ilvl w:val="0"/>
          <w:numId w:val="103"/>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Zweck: Schmerzlinderung</w:t>
      </w:r>
    </w:p>
    <w:p w14:paraId="119C830D" w14:textId="77777777" w:rsidR="00FE593D" w:rsidRPr="00FE593D" w:rsidRDefault="00FE593D" w:rsidP="001B6D02">
      <w:pPr>
        <w:numPr>
          <w:ilvl w:val="0"/>
          <w:numId w:val="103"/>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Historische Belege: Mk 15,23</w:t>
      </w:r>
    </w:p>
    <w:p w14:paraId="0A50A692" w14:textId="77777777" w:rsidR="00FE593D" w:rsidRDefault="00FE593D" w:rsidP="001B6D02">
      <w:pPr>
        <w:numPr>
          <w:ilvl w:val="0"/>
          <w:numId w:val="103"/>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Vergleichbare römische Praktiken</w:t>
      </w:r>
    </w:p>
    <w:p w14:paraId="21E31A97" w14:textId="77777777" w:rsidR="00826EC8" w:rsidRPr="00826EC8" w:rsidRDefault="00826EC8" w:rsidP="00826EC8">
      <w:p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Der mit Myrrhe versetzte Wein war im antiken Nahen Osten und im Römischen Reich ein komplexes medizinisches Präparat mit präziser schmerzlindernder Funktion. Markus 15,23 dokumentiert diese Praxis: „Sie boten ihm Wein, mit Myrrhe gemischt, an; aber er nahm ihn nicht."</w:t>
      </w:r>
    </w:p>
    <w:p w14:paraId="580EF390" w14:textId="77777777" w:rsidR="00826EC8" w:rsidRPr="00C6615A" w:rsidRDefault="00826EC8" w:rsidP="00826EC8">
      <w:pPr>
        <w:spacing w:before="100" w:beforeAutospacing="1" w:after="100" w:afterAutospacing="1"/>
        <w:rPr>
          <w:rFonts w:ascii="Times New Roman" w:eastAsia="Times New Roman" w:hAnsi="Times New Roman"/>
          <w:b/>
          <w:bCs/>
          <w:lang w:eastAsia="de-DE"/>
        </w:rPr>
      </w:pPr>
      <w:r w:rsidRPr="00826EC8">
        <w:rPr>
          <w:rFonts w:ascii="Times New Roman" w:eastAsia="Times New Roman" w:hAnsi="Times New Roman"/>
          <w:b/>
          <w:bCs/>
          <w:lang w:eastAsia="de-DE"/>
        </w:rPr>
        <w:t>Pharmakologische Zusammensetzung:</w:t>
      </w:r>
    </w:p>
    <w:p w14:paraId="6C665BF2" w14:textId="77777777" w:rsidR="00826EC8" w:rsidRPr="00826EC8" w:rsidRDefault="00826EC8" w:rsidP="00714222">
      <w:pPr>
        <w:numPr>
          <w:ilvl w:val="0"/>
          <w:numId w:val="135"/>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Grundlage: Wein (alkoholische Lösung)</w:t>
      </w:r>
    </w:p>
    <w:p w14:paraId="07D90549" w14:textId="77777777" w:rsidR="00826EC8" w:rsidRPr="00826EC8" w:rsidRDefault="00826EC8" w:rsidP="00714222">
      <w:pPr>
        <w:numPr>
          <w:ilvl w:val="0"/>
          <w:numId w:val="135"/>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Wirkstoff: Myrrhe (Commiphora myrrha)</w:t>
      </w:r>
    </w:p>
    <w:p w14:paraId="45810AD1" w14:textId="77777777" w:rsidR="00826EC8" w:rsidRPr="00826EC8" w:rsidRDefault="00826EC8" w:rsidP="00714222">
      <w:pPr>
        <w:numPr>
          <w:ilvl w:val="0"/>
          <w:numId w:val="135"/>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Aktive Komponenten: Terpenoide, ätherische Öle</w:t>
      </w:r>
    </w:p>
    <w:p w14:paraId="2407F736" w14:textId="77777777" w:rsidR="00826EC8" w:rsidRPr="00826EC8" w:rsidRDefault="00826EC8" w:rsidP="00714222">
      <w:pPr>
        <w:numPr>
          <w:ilvl w:val="0"/>
          <w:numId w:val="135"/>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Analgetische Wirkung: Schmerzreduktion, leichte Sedierung</w:t>
      </w:r>
    </w:p>
    <w:p w14:paraId="03A53E59" w14:textId="77777777" w:rsidR="00826EC8" w:rsidRPr="00C6615A" w:rsidRDefault="00826EC8" w:rsidP="00826EC8">
      <w:pPr>
        <w:spacing w:before="100" w:beforeAutospacing="1" w:after="100" w:afterAutospacing="1"/>
        <w:rPr>
          <w:rFonts w:ascii="Times New Roman" w:eastAsia="Times New Roman" w:hAnsi="Times New Roman"/>
          <w:b/>
          <w:bCs/>
          <w:lang w:eastAsia="de-DE"/>
        </w:rPr>
      </w:pPr>
      <w:r w:rsidRPr="00826EC8">
        <w:rPr>
          <w:rFonts w:ascii="Times New Roman" w:eastAsia="Times New Roman" w:hAnsi="Times New Roman"/>
          <w:b/>
          <w:bCs/>
          <w:lang w:eastAsia="de-DE"/>
        </w:rPr>
        <w:t>Medizinische Wirkungsmechanismen:</w:t>
      </w:r>
    </w:p>
    <w:p w14:paraId="2521F34A" w14:textId="77777777" w:rsidR="00826EC8" w:rsidRPr="00826EC8" w:rsidRDefault="00826EC8" w:rsidP="00714222">
      <w:pPr>
        <w:numPr>
          <w:ilvl w:val="0"/>
          <w:numId w:val="136"/>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lastRenderedPageBreak/>
        <w:t>Alkohol als Lösungsmittel und Verstärker</w:t>
      </w:r>
    </w:p>
    <w:p w14:paraId="0B204EB2" w14:textId="77777777" w:rsidR="00826EC8" w:rsidRPr="00826EC8" w:rsidRDefault="00826EC8" w:rsidP="00714222">
      <w:pPr>
        <w:numPr>
          <w:ilvl w:val="0"/>
          <w:numId w:val="136"/>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Myrrhe mit entzündungshemmenden Eigenschaften</w:t>
      </w:r>
    </w:p>
    <w:p w14:paraId="388C236D" w14:textId="77777777" w:rsidR="00826EC8" w:rsidRPr="00826EC8" w:rsidRDefault="00826EC8" w:rsidP="00714222">
      <w:pPr>
        <w:numPr>
          <w:ilvl w:val="0"/>
          <w:numId w:val="136"/>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Psychoaktive Dämpfung der Schmerzwahrnehmung</w:t>
      </w:r>
    </w:p>
    <w:p w14:paraId="67F5F6B4" w14:textId="77777777" w:rsidR="00826EC8" w:rsidRPr="00C6615A" w:rsidRDefault="00826EC8" w:rsidP="00826EC8">
      <w:pPr>
        <w:spacing w:before="100" w:beforeAutospacing="1" w:after="100" w:afterAutospacing="1"/>
        <w:rPr>
          <w:rFonts w:ascii="Times New Roman" w:eastAsia="Times New Roman" w:hAnsi="Times New Roman"/>
          <w:b/>
          <w:bCs/>
          <w:lang w:eastAsia="de-DE"/>
        </w:rPr>
      </w:pPr>
      <w:r w:rsidRPr="00826EC8">
        <w:rPr>
          <w:rFonts w:ascii="Times New Roman" w:eastAsia="Times New Roman" w:hAnsi="Times New Roman"/>
          <w:b/>
          <w:bCs/>
          <w:lang w:eastAsia="de-DE"/>
        </w:rPr>
        <w:t>Historisch-kultureller Kontext:</w:t>
      </w:r>
    </w:p>
    <w:p w14:paraId="2C3D3B86" w14:textId="77777777" w:rsidR="00826EC8" w:rsidRPr="00826EC8" w:rsidRDefault="00826EC8" w:rsidP="00714222">
      <w:pPr>
        <w:numPr>
          <w:ilvl w:val="0"/>
          <w:numId w:val="137"/>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Standardisierte medizinische Praxis</w:t>
      </w:r>
    </w:p>
    <w:p w14:paraId="638BB48A" w14:textId="77777777" w:rsidR="00826EC8" w:rsidRPr="00826EC8" w:rsidRDefault="00826EC8" w:rsidP="00714222">
      <w:pPr>
        <w:numPr>
          <w:ilvl w:val="0"/>
          <w:numId w:val="137"/>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Humanitäre Komponente in Hinrichtungsritualen</w:t>
      </w:r>
    </w:p>
    <w:p w14:paraId="6D9CB05D" w14:textId="77777777" w:rsidR="00826EC8" w:rsidRPr="00826EC8" w:rsidRDefault="00826EC8" w:rsidP="00714222">
      <w:pPr>
        <w:numPr>
          <w:ilvl w:val="0"/>
          <w:numId w:val="137"/>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Dokumentiert in mehreren antiken Kulturen</w:t>
      </w:r>
    </w:p>
    <w:p w14:paraId="1B0E3257" w14:textId="77777777" w:rsidR="00826EC8" w:rsidRPr="00826EC8" w:rsidRDefault="00826EC8" w:rsidP="00826EC8">
      <w:p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b/>
          <w:bCs/>
          <w:lang w:eastAsia="de-DE"/>
        </w:rPr>
        <w:t>Römische und griechische Parallelen:</w:t>
      </w:r>
    </w:p>
    <w:p w14:paraId="4E172ADB" w14:textId="77777777" w:rsidR="00826EC8" w:rsidRPr="00826EC8" w:rsidRDefault="00826EC8" w:rsidP="00714222">
      <w:pPr>
        <w:numPr>
          <w:ilvl w:val="0"/>
          <w:numId w:val="138"/>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Ähnliche Praktiken bei Gladiatorenkämpfen</w:t>
      </w:r>
    </w:p>
    <w:p w14:paraId="12746679" w14:textId="77777777" w:rsidR="00826EC8" w:rsidRPr="00826EC8" w:rsidRDefault="00826EC8" w:rsidP="00714222">
      <w:pPr>
        <w:numPr>
          <w:ilvl w:val="0"/>
          <w:numId w:val="138"/>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Medizinische Traditionen der Kriegsmedizin</w:t>
      </w:r>
    </w:p>
    <w:p w14:paraId="0291A9F9" w14:textId="77777777" w:rsidR="00826EC8" w:rsidRPr="00826EC8" w:rsidRDefault="00826EC8" w:rsidP="00714222">
      <w:pPr>
        <w:numPr>
          <w:ilvl w:val="0"/>
          <w:numId w:val="138"/>
        </w:num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Systematischer Einsatz von Analgetika</w:t>
      </w:r>
    </w:p>
    <w:p w14:paraId="4345EC88" w14:textId="77777777" w:rsidR="00826EC8" w:rsidRPr="00826EC8" w:rsidRDefault="00826EC8" w:rsidP="00826EC8">
      <w:pPr>
        <w:spacing w:before="100" w:beforeAutospacing="1" w:after="100" w:afterAutospacing="1"/>
        <w:rPr>
          <w:rFonts w:ascii="Times New Roman" w:eastAsia="Times New Roman" w:hAnsi="Times New Roman"/>
          <w:lang w:eastAsia="de-DE"/>
        </w:rPr>
      </w:pPr>
      <w:r w:rsidRPr="00826EC8">
        <w:rPr>
          <w:rFonts w:ascii="Times New Roman" w:eastAsia="Times New Roman" w:hAnsi="Times New Roman"/>
          <w:lang w:eastAsia="de-DE"/>
        </w:rPr>
        <w:t>Die Mischung representiert eine medizinische Intervention zwischen Schmerzlinderung und ritueller Praxis.</w:t>
      </w:r>
    </w:p>
    <w:p w14:paraId="20EAD3FE" w14:textId="77777777" w:rsidR="00FE593D" w:rsidRPr="00C6615A" w:rsidRDefault="00CB1EAC" w:rsidP="00CB1EAC">
      <w:pPr>
        <w:pStyle w:val="berschrift3"/>
        <w:rPr>
          <w:rFonts w:eastAsia="Times New Roman"/>
          <w:lang w:eastAsia="de-DE"/>
        </w:rPr>
      </w:pPr>
      <w:r>
        <w:rPr>
          <w:rFonts w:eastAsia="Times New Roman"/>
          <w:lang w:eastAsia="de-DE"/>
        </w:rPr>
        <w:t xml:space="preserve">5.7.5. </w:t>
      </w:r>
      <w:r w:rsidR="00FE593D" w:rsidRPr="00C6615A">
        <w:rPr>
          <w:rFonts w:eastAsia="Times New Roman"/>
          <w:lang w:eastAsia="de-DE"/>
        </w:rPr>
        <w:t>Essigwasser (während der Kreuzigung)</w:t>
      </w:r>
    </w:p>
    <w:p w14:paraId="6B462653" w14:textId="77777777" w:rsidR="00FE593D" w:rsidRPr="00FE593D" w:rsidRDefault="2C6D20BE" w:rsidP="2C6D20BE">
      <w:pPr>
        <w:numPr>
          <w:ilvl w:val="0"/>
          <w:numId w:val="104"/>
        </w:numPr>
        <w:spacing w:before="100" w:beforeAutospacing="1" w:after="100" w:afterAutospacing="1"/>
        <w:rPr>
          <w:rFonts w:ascii="Times New Roman" w:eastAsia="Times New Roman" w:hAnsi="Times New Roman"/>
          <w:lang w:eastAsia="de-DE"/>
        </w:rPr>
      </w:pPr>
      <w:r w:rsidRPr="2C6D20BE">
        <w:rPr>
          <w:rFonts w:ascii="Times New Roman" w:eastAsia="Times New Roman" w:hAnsi="Times New Roman"/>
          <w:lang w:eastAsia="de-DE"/>
        </w:rPr>
        <w:t xml:space="preserve">Zusammensetzung: </w:t>
      </w:r>
      <w:r w:rsidRPr="2C6D20BE">
        <w:rPr>
          <w:rFonts w:ascii="Times New Roman" w:eastAsia="Times New Roman" w:hAnsi="Times New Roman"/>
          <w:i/>
          <w:iCs/>
          <w:lang w:eastAsia="de-DE"/>
        </w:rPr>
        <w:t>Posca</w:t>
      </w:r>
      <w:r w:rsidRPr="2C6D20BE">
        <w:rPr>
          <w:rFonts w:ascii="Times New Roman" w:eastAsia="Times New Roman" w:hAnsi="Times New Roman"/>
          <w:lang w:eastAsia="de-DE"/>
        </w:rPr>
        <w:t xml:space="preserve"> (verdünnter Weinessig)</w:t>
      </w:r>
    </w:p>
    <w:p w14:paraId="19DABABE" w14:textId="77777777" w:rsidR="00FE593D" w:rsidRPr="00FE593D" w:rsidRDefault="00FE593D" w:rsidP="001B6D02">
      <w:pPr>
        <w:numPr>
          <w:ilvl w:val="0"/>
          <w:numId w:val="104"/>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Standardgetränk römischer Soldaten</w:t>
      </w:r>
    </w:p>
    <w:p w14:paraId="59ACBCF9" w14:textId="77777777" w:rsidR="00FE593D" w:rsidRPr="00FE593D" w:rsidRDefault="00FE593D" w:rsidP="001B6D02">
      <w:pPr>
        <w:numPr>
          <w:ilvl w:val="0"/>
          <w:numId w:val="104"/>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Dehydrationsprävention</w:t>
      </w:r>
    </w:p>
    <w:p w14:paraId="305A4D95" w14:textId="77777777" w:rsidR="00FE593D" w:rsidRDefault="00FE593D" w:rsidP="001B6D02">
      <w:pPr>
        <w:numPr>
          <w:ilvl w:val="0"/>
          <w:numId w:val="104"/>
        </w:num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Historische Belege: Joh 19,29</w:t>
      </w:r>
    </w:p>
    <w:p w14:paraId="4C6058D3" w14:textId="77777777" w:rsidR="00245878" w:rsidRPr="00245878" w:rsidRDefault="2C6D20BE" w:rsidP="2C6D20BE">
      <w:pPr>
        <w:spacing w:before="100" w:beforeAutospacing="1" w:after="100" w:afterAutospacing="1"/>
        <w:rPr>
          <w:rFonts w:ascii="Times New Roman" w:eastAsia="Times New Roman" w:hAnsi="Times New Roman"/>
          <w:lang w:eastAsia="de-DE"/>
        </w:rPr>
      </w:pPr>
      <w:r w:rsidRPr="2C6D20BE">
        <w:rPr>
          <w:rFonts w:ascii="Times New Roman" w:eastAsia="Times New Roman" w:hAnsi="Times New Roman"/>
          <w:i/>
          <w:iCs/>
          <w:lang w:eastAsia="de-DE"/>
        </w:rPr>
        <w:t>Posca</w:t>
      </w:r>
      <w:r w:rsidRPr="2C6D20BE">
        <w:rPr>
          <w:rFonts w:ascii="Times New Roman" w:eastAsia="Times New Roman" w:hAnsi="Times New Roman"/>
          <w:lang w:eastAsia="de-DE"/>
        </w:rPr>
        <w:t xml:space="preserve"> war ein lebenswichtiges Getränk in der römischen Militärkultur, das weit mehr als nur ein Durstlöscher war. Es handelte sich um einen verdünnten Weinessig, der eine komplexe ernährungsphysiologische und strategische Bedeutung hatte.</w:t>
      </w:r>
    </w:p>
    <w:p w14:paraId="5262CAC4" w14:textId="77777777" w:rsidR="00245878" w:rsidRPr="00C6615A" w:rsidRDefault="00245878" w:rsidP="00245878">
      <w:pPr>
        <w:spacing w:before="100" w:beforeAutospacing="1" w:after="100" w:afterAutospacing="1"/>
        <w:rPr>
          <w:rFonts w:ascii="Times New Roman" w:eastAsia="Times New Roman" w:hAnsi="Times New Roman"/>
          <w:b/>
          <w:bCs/>
          <w:lang w:eastAsia="de-DE"/>
        </w:rPr>
      </w:pPr>
      <w:r w:rsidRPr="00245878">
        <w:rPr>
          <w:rFonts w:ascii="Times New Roman" w:eastAsia="Times New Roman" w:hAnsi="Times New Roman"/>
          <w:b/>
          <w:bCs/>
          <w:lang w:eastAsia="de-DE"/>
        </w:rPr>
        <w:t>Zusammensetzung:</w:t>
      </w:r>
    </w:p>
    <w:p w14:paraId="34D84B48" w14:textId="77777777" w:rsidR="00245878" w:rsidRPr="00245878" w:rsidRDefault="00245878" w:rsidP="00714222">
      <w:pPr>
        <w:numPr>
          <w:ilvl w:val="0"/>
          <w:numId w:val="139"/>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Basis: Weinessig (Acetum)</w:t>
      </w:r>
    </w:p>
    <w:p w14:paraId="15B7E859" w14:textId="77777777" w:rsidR="00245878" w:rsidRPr="00245878" w:rsidRDefault="00245878" w:rsidP="00714222">
      <w:pPr>
        <w:numPr>
          <w:ilvl w:val="0"/>
          <w:numId w:val="139"/>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Verdünnung: Wasser</w:t>
      </w:r>
    </w:p>
    <w:p w14:paraId="517874BB" w14:textId="77777777" w:rsidR="00245878" w:rsidRPr="00245878" w:rsidRDefault="00245878" w:rsidP="00714222">
      <w:pPr>
        <w:numPr>
          <w:ilvl w:val="0"/>
          <w:numId w:val="139"/>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lastRenderedPageBreak/>
        <w:t>Zusätze: Möglicherweise Kräuter, Salz</w:t>
      </w:r>
    </w:p>
    <w:p w14:paraId="3F08B521" w14:textId="77777777" w:rsidR="00245878" w:rsidRPr="00245878" w:rsidRDefault="00245878" w:rsidP="00714222">
      <w:pPr>
        <w:numPr>
          <w:ilvl w:val="0"/>
          <w:numId w:val="139"/>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Nährstoffprofil: Elektrolyte, Mineralstoffe</w:t>
      </w:r>
    </w:p>
    <w:p w14:paraId="4201E68E" w14:textId="77777777" w:rsidR="00245878" w:rsidRPr="00245878" w:rsidRDefault="00245878" w:rsidP="00245878">
      <w:p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b/>
          <w:bCs/>
          <w:lang w:eastAsia="de-DE"/>
        </w:rPr>
        <w:t>Medizinische Funktionen:</w:t>
      </w:r>
    </w:p>
    <w:p w14:paraId="10AC4643" w14:textId="77777777" w:rsidR="00245878" w:rsidRPr="00245878" w:rsidRDefault="00245878" w:rsidP="00714222">
      <w:pPr>
        <w:numPr>
          <w:ilvl w:val="0"/>
          <w:numId w:val="140"/>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Dehydrationsprävention</w:t>
      </w:r>
    </w:p>
    <w:p w14:paraId="232A87F6" w14:textId="77777777" w:rsidR="00245878" w:rsidRPr="00245878" w:rsidRDefault="00245878" w:rsidP="00714222">
      <w:pPr>
        <w:numPr>
          <w:ilvl w:val="0"/>
          <w:numId w:val="140"/>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Elektrolytausgleich</w:t>
      </w:r>
    </w:p>
    <w:p w14:paraId="20D107B3" w14:textId="77777777" w:rsidR="00245878" w:rsidRPr="00245878" w:rsidRDefault="00245878" w:rsidP="00714222">
      <w:pPr>
        <w:numPr>
          <w:ilvl w:val="0"/>
          <w:numId w:val="140"/>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Antibakterielle Wirkung</w:t>
      </w:r>
    </w:p>
    <w:p w14:paraId="7F9B39E3" w14:textId="65AA29D6" w:rsidR="00245878" w:rsidRPr="00245878" w:rsidRDefault="2C6D20BE" w:rsidP="2C6D20BE">
      <w:pPr>
        <w:numPr>
          <w:ilvl w:val="0"/>
          <w:numId w:val="140"/>
        </w:numPr>
        <w:spacing w:before="100" w:beforeAutospacing="1" w:after="100" w:afterAutospacing="1"/>
        <w:rPr>
          <w:rFonts w:ascii="Times New Roman" w:eastAsia="Times New Roman" w:hAnsi="Times New Roman"/>
          <w:lang w:eastAsia="de-DE"/>
        </w:rPr>
      </w:pPr>
      <w:r w:rsidRPr="2C6D20BE">
        <w:rPr>
          <w:rFonts w:ascii="Times New Roman" w:eastAsia="Times New Roman" w:hAnsi="Times New Roman"/>
          <w:lang w:eastAsia="de-DE"/>
        </w:rPr>
        <w:t>Erfrischende Wirkung</w:t>
      </w:r>
    </w:p>
    <w:p w14:paraId="65C21AD9" w14:textId="77777777" w:rsidR="00245878" w:rsidRPr="00245878" w:rsidRDefault="00245878" w:rsidP="00245878">
      <w:p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b/>
          <w:bCs/>
          <w:lang w:eastAsia="de-DE"/>
        </w:rPr>
        <w:t>Militärische Relevanz:</w:t>
      </w:r>
    </w:p>
    <w:p w14:paraId="5FFCA090" w14:textId="77777777" w:rsidR="00245878" w:rsidRPr="00245878" w:rsidRDefault="00245878" w:rsidP="00714222">
      <w:pPr>
        <w:numPr>
          <w:ilvl w:val="0"/>
          <w:numId w:val="141"/>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Standardverpflegung der Legionäre</w:t>
      </w:r>
    </w:p>
    <w:p w14:paraId="662E2472" w14:textId="77777777" w:rsidR="00245878" w:rsidRPr="00245878" w:rsidRDefault="00245878" w:rsidP="00714222">
      <w:pPr>
        <w:numPr>
          <w:ilvl w:val="0"/>
          <w:numId w:val="141"/>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Haltbar unter extremen Bedingungen</w:t>
      </w:r>
    </w:p>
    <w:p w14:paraId="7811AFFF" w14:textId="77777777" w:rsidR="00245878" w:rsidRPr="00245878" w:rsidRDefault="00245878" w:rsidP="00714222">
      <w:pPr>
        <w:numPr>
          <w:ilvl w:val="0"/>
          <w:numId w:val="141"/>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Kostengünstige Herstellung</w:t>
      </w:r>
    </w:p>
    <w:p w14:paraId="2E68CD75" w14:textId="77777777" w:rsidR="00245878" w:rsidRPr="00245878" w:rsidRDefault="00245878" w:rsidP="00714222">
      <w:pPr>
        <w:numPr>
          <w:ilvl w:val="0"/>
          <w:numId w:val="141"/>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Hohe Transportstabilität</w:t>
      </w:r>
    </w:p>
    <w:p w14:paraId="64FF5A0D" w14:textId="77777777" w:rsidR="00C6615A" w:rsidRDefault="00245878" w:rsidP="00245878">
      <w:pPr>
        <w:spacing w:before="100" w:beforeAutospacing="1" w:after="100" w:afterAutospacing="1"/>
        <w:rPr>
          <w:rFonts w:ascii="Times New Roman" w:eastAsia="Times New Roman" w:hAnsi="Times New Roman"/>
          <w:b/>
          <w:bCs/>
          <w:lang w:eastAsia="de-DE"/>
        </w:rPr>
      </w:pPr>
      <w:r w:rsidRPr="00245878">
        <w:rPr>
          <w:rFonts w:ascii="Times New Roman" w:eastAsia="Times New Roman" w:hAnsi="Times New Roman"/>
          <w:b/>
          <w:bCs/>
          <w:lang w:eastAsia="de-DE"/>
        </w:rPr>
        <w:t>Biblischer Kontext (Johannes 19,29):</w:t>
      </w:r>
      <w:r w:rsidRPr="00C6615A">
        <w:rPr>
          <w:rFonts w:ascii="Times New Roman" w:eastAsia="Times New Roman" w:hAnsi="Times New Roman"/>
          <w:b/>
          <w:bCs/>
          <w:lang w:eastAsia="de-DE"/>
        </w:rPr>
        <w:t xml:space="preserve"> </w:t>
      </w:r>
    </w:p>
    <w:p w14:paraId="3554B9D7" w14:textId="77777777" w:rsidR="00245878" w:rsidRPr="00245878" w:rsidRDefault="2C6D20BE" w:rsidP="2C6D20BE">
      <w:pPr>
        <w:spacing w:before="100" w:beforeAutospacing="1" w:after="100" w:afterAutospacing="1"/>
        <w:rPr>
          <w:rFonts w:ascii="Times New Roman" w:eastAsia="Times New Roman" w:hAnsi="Times New Roman"/>
          <w:lang w:eastAsia="de-DE"/>
        </w:rPr>
      </w:pPr>
      <w:r w:rsidRPr="2C6D20BE">
        <w:rPr>
          <w:rFonts w:ascii="Times New Roman" w:eastAsia="Times New Roman" w:hAnsi="Times New Roman"/>
          <w:lang w:eastAsia="de-DE"/>
        </w:rPr>
        <w:t xml:space="preserve">Die Szene der Kreuzigung zeigt einen Soldaten, der Jesus </w:t>
      </w:r>
      <w:r w:rsidRPr="2C6D20BE">
        <w:rPr>
          <w:rFonts w:ascii="Times New Roman" w:eastAsia="Times New Roman" w:hAnsi="Times New Roman"/>
          <w:i/>
          <w:iCs/>
          <w:lang w:eastAsia="de-DE"/>
        </w:rPr>
        <w:t>Posca</w:t>
      </w:r>
      <w:r w:rsidRPr="2C6D20BE">
        <w:rPr>
          <w:rFonts w:ascii="Times New Roman" w:eastAsia="Times New Roman" w:hAnsi="Times New Roman"/>
          <w:lang w:eastAsia="de-DE"/>
        </w:rPr>
        <w:t xml:space="preserve"> reicht - ein historisch präziser Hinweis auf römische Standardpraktiken.</w:t>
      </w:r>
    </w:p>
    <w:p w14:paraId="5A5FA4EF" w14:textId="77777777" w:rsidR="00245878" w:rsidRPr="00245878" w:rsidRDefault="00245878" w:rsidP="00245878">
      <w:p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b/>
          <w:bCs/>
          <w:lang w:eastAsia="de-DE"/>
        </w:rPr>
        <w:t>Physiologische Vorteile:</w:t>
      </w:r>
    </w:p>
    <w:p w14:paraId="67A209B8" w14:textId="77777777" w:rsidR="00245878" w:rsidRPr="00245878" w:rsidRDefault="00245878" w:rsidP="00714222">
      <w:pPr>
        <w:numPr>
          <w:ilvl w:val="0"/>
          <w:numId w:val="142"/>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Senkt Bakterienrisiken</w:t>
      </w:r>
    </w:p>
    <w:p w14:paraId="7D46E92C" w14:textId="77777777" w:rsidR="00245878" w:rsidRPr="00245878" w:rsidRDefault="00245878" w:rsidP="00714222">
      <w:pPr>
        <w:numPr>
          <w:ilvl w:val="0"/>
          <w:numId w:val="142"/>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Unterstützt Thermoregulation</w:t>
      </w:r>
    </w:p>
    <w:p w14:paraId="0D926F01" w14:textId="77777777" w:rsidR="00245878" w:rsidRPr="00245878" w:rsidRDefault="00245878" w:rsidP="00714222">
      <w:pPr>
        <w:numPr>
          <w:ilvl w:val="0"/>
          <w:numId w:val="142"/>
        </w:numPr>
        <w:spacing w:before="100" w:beforeAutospacing="1" w:after="100" w:afterAutospacing="1"/>
        <w:rPr>
          <w:rFonts w:ascii="Times New Roman" w:eastAsia="Times New Roman" w:hAnsi="Times New Roman"/>
          <w:lang w:eastAsia="de-DE"/>
        </w:rPr>
      </w:pPr>
      <w:r w:rsidRPr="00245878">
        <w:rPr>
          <w:rFonts w:ascii="Times New Roman" w:eastAsia="Times New Roman" w:hAnsi="Times New Roman"/>
          <w:lang w:eastAsia="de-DE"/>
        </w:rPr>
        <w:t>Verhindert Erschöpfungszustände</w:t>
      </w:r>
    </w:p>
    <w:p w14:paraId="1BC740DE" w14:textId="77777777" w:rsidR="00245878" w:rsidRPr="00245878" w:rsidRDefault="2C6D20BE" w:rsidP="2C6D20BE">
      <w:pPr>
        <w:spacing w:before="100" w:beforeAutospacing="1" w:after="100" w:afterAutospacing="1"/>
        <w:rPr>
          <w:rFonts w:ascii="Times New Roman" w:eastAsia="Times New Roman" w:hAnsi="Times New Roman"/>
          <w:lang w:eastAsia="de-DE"/>
        </w:rPr>
      </w:pPr>
      <w:r w:rsidRPr="2C6D20BE">
        <w:rPr>
          <w:rFonts w:ascii="Times New Roman" w:eastAsia="Times New Roman" w:hAnsi="Times New Roman"/>
          <w:lang w:eastAsia="de-DE"/>
        </w:rPr>
        <w:t xml:space="preserve">Die </w:t>
      </w:r>
      <w:r w:rsidRPr="2C6D20BE">
        <w:rPr>
          <w:rFonts w:ascii="Times New Roman" w:eastAsia="Times New Roman" w:hAnsi="Times New Roman"/>
          <w:i/>
          <w:iCs/>
          <w:lang w:eastAsia="de-DE"/>
        </w:rPr>
        <w:t>Posca</w:t>
      </w:r>
      <w:r w:rsidRPr="2C6D20BE">
        <w:rPr>
          <w:rFonts w:ascii="Times New Roman" w:eastAsia="Times New Roman" w:hAnsi="Times New Roman"/>
          <w:lang w:eastAsia="de-DE"/>
        </w:rPr>
        <w:t xml:space="preserve"> symbolisiert römische Ingenieurskunst: Eine simple, aber hocheffiziente Lösung für komplexe militärische Herausforderungen.</w:t>
      </w:r>
    </w:p>
    <w:p w14:paraId="2B528DEF" w14:textId="15D06BAB" w:rsidR="00FE593D" w:rsidRPr="00FE593D" w:rsidRDefault="45BC28BC" w:rsidP="00C6615A">
      <w:pPr>
        <w:pStyle w:val="berschrift3"/>
        <w:rPr>
          <w:rFonts w:eastAsia="Times New Roman"/>
          <w:lang w:eastAsia="de-DE"/>
        </w:rPr>
      </w:pPr>
      <w:r w:rsidRPr="45BC28BC">
        <w:rPr>
          <w:rFonts w:eastAsia="Times New Roman"/>
          <w:lang w:eastAsia="de-DE"/>
        </w:rPr>
        <w:lastRenderedPageBreak/>
        <w:t>5.7.6. Historische Einordnung und Quellentexte</w:t>
      </w:r>
    </w:p>
    <w:p w14:paraId="4795C5A6" w14:textId="77777777" w:rsidR="00FE593D" w:rsidRPr="00FE593D" w:rsidRDefault="00FE593D" w:rsidP="00FE593D">
      <w:p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Die Werkzeuge und Gegenstände der Kreuzigung Jesu, wie sie in den historischen Quellen überliefert sind, spiegeln die standardisierte römische Hinrichtungspraxis wider und bieten gleichzeitig einzigartige Details, die durch multiple Quellen bestätigt werden. Die materiellen Aspekte der Kreuzigung lassen sich durch eine Kombination archäologischer Funde, historischer Berichte und physikalischer Analysen rekonstruieren.</w:t>
      </w:r>
    </w:p>
    <w:p w14:paraId="77911D39" w14:textId="77777777" w:rsidR="00FE593D" w:rsidRPr="00FE593D" w:rsidRDefault="2C6D20BE" w:rsidP="2C6D20BE">
      <w:pPr>
        <w:spacing w:before="100" w:beforeAutospacing="1" w:after="100" w:afterAutospacing="1"/>
        <w:rPr>
          <w:rFonts w:ascii="Times New Roman" w:eastAsia="Times New Roman" w:hAnsi="Times New Roman"/>
          <w:lang w:eastAsia="de-DE"/>
        </w:rPr>
      </w:pPr>
      <w:r w:rsidRPr="2C6D20BE">
        <w:rPr>
          <w:rFonts w:ascii="Times New Roman" w:eastAsia="Times New Roman" w:hAnsi="Times New Roman"/>
          <w:lang w:eastAsia="de-DE"/>
        </w:rPr>
        <w:t xml:space="preserve">Die </w:t>
      </w:r>
      <w:r w:rsidRPr="2C6D20BE">
        <w:rPr>
          <w:rFonts w:ascii="Times New Roman" w:eastAsia="Times New Roman" w:hAnsi="Times New Roman"/>
          <w:i/>
          <w:iCs/>
          <w:lang w:eastAsia="de-DE"/>
        </w:rPr>
        <w:t>Lancea</w:t>
      </w:r>
      <w:r w:rsidRPr="2C6D20BE">
        <w:rPr>
          <w:rFonts w:ascii="Times New Roman" w:eastAsia="Times New Roman" w:hAnsi="Times New Roman"/>
          <w:lang w:eastAsia="de-DE"/>
        </w:rPr>
        <w:t>, der römische Speer, mit dem nach Johannes 19,34 die Seite Jesu durchbohrt wurde, musste bestimmte physikalische Mindestanforderungen erfüllen. Die berechnete Mindestlänge von 2,05 Metern entspricht den bekannten Dimensionen römischer Lanzen aus dem 1. Jahrhundert. Archäologische Funde aus dieser Periode, wie beispielsweise die in Masada gefundenen römischen Speerspitzen, bestätigen die verwendeten Materialien und Dimensionen. Tacitus erwähnt in seinen "Annalen" die Standardisierung römischer Militärausrüstung, was die Rekonstruktion der verwendeten Waffen ermöglicht.</w:t>
      </w:r>
    </w:p>
    <w:p w14:paraId="369E9350" w14:textId="77777777" w:rsidR="00FE593D" w:rsidRPr="00FE593D" w:rsidRDefault="00FE593D" w:rsidP="00FE593D">
      <w:p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Die bei der Kreuzigung verwendeten Getränke sind durch multiple Quellen belegt. Der Myrrhenwein, den Jesus nach Markus 15,23 ablehnte, war Teil einer etablierten Praxis der Schmerzlinderung bei Hinrichtungen. Talmudische Quellen bestätigen diese Tradition für Jerusalem: "Den zum Tode Verurteilten gab man Wein mit Weihrauch zu trinken, um ihr Bewusstsein zu betäuben" (Sanhedrin 43a). Der später angebotene Essigwein (Posca) war das standardmäßige Getränk römischer Soldaten, wie Plutarch in seinen "Moralia" dokumentiert.</w:t>
      </w:r>
    </w:p>
    <w:p w14:paraId="300257CB" w14:textId="77777777" w:rsidR="00FE593D" w:rsidRPr="00FE593D" w:rsidRDefault="00FE593D" w:rsidP="00FE593D">
      <w:p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 xml:space="preserve">Die Verwendung des Ysopstängels für den Essigschwamm, wie von Johannes berichtet, fügt sich in den kulturellen Kontext ein. Ysop war in der jüdischen Tradition ein rituell bedeutsames Gewächs, dessen Stängel nach Plinius dem Älteren ("Naturalis Historia") eine </w:t>
      </w:r>
      <w:r w:rsidRPr="00FE593D">
        <w:rPr>
          <w:rFonts w:ascii="Times New Roman" w:eastAsia="Times New Roman" w:hAnsi="Times New Roman"/>
          <w:lang w:eastAsia="de-DE"/>
        </w:rPr>
        <w:lastRenderedPageBreak/>
        <w:t>Länge von etwa 45-60 cm erreichen konnte. Dies ermöglichte es den Soldaten, das Getränk zum Mund des Gekreuzigten zu führen.</w:t>
      </w:r>
    </w:p>
    <w:p w14:paraId="32A7B571" w14:textId="77777777" w:rsidR="002557A0" w:rsidRPr="002557A0" w:rsidRDefault="002557A0" w:rsidP="002557A0">
      <w:p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Ein damals üblicher Naturschwamm konnte etwa 450-470 ml Flüssigkeit aufnehmen. Der Ysopstängel von 45-60 cm Länge war ideal für diesen Zweck, da er:</w:t>
      </w:r>
    </w:p>
    <w:p w14:paraId="514B4216" w14:textId="77777777" w:rsidR="002557A0" w:rsidRPr="002557A0" w:rsidRDefault="002557A0" w:rsidP="00714222">
      <w:pPr>
        <w:numPr>
          <w:ilvl w:val="0"/>
          <w:numId w:val="229"/>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Rituell rein war (wurde auch beim Pessach verwendet)</w:t>
      </w:r>
    </w:p>
    <w:p w14:paraId="356F2C1B" w14:textId="77777777" w:rsidR="002557A0" w:rsidRPr="002557A0" w:rsidRDefault="002557A0" w:rsidP="00714222">
      <w:pPr>
        <w:numPr>
          <w:ilvl w:val="0"/>
          <w:numId w:val="229"/>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Stabil genug war, um den vollgesogenen Schwamm zu tragen</w:t>
      </w:r>
    </w:p>
    <w:p w14:paraId="515649EE" w14:textId="77777777" w:rsidR="002557A0" w:rsidRPr="002557A0" w:rsidRDefault="002557A0" w:rsidP="00714222">
      <w:pPr>
        <w:numPr>
          <w:ilvl w:val="0"/>
          <w:numId w:val="229"/>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Mit seiner Länge ausreichte, um von einer auf dem Boden stehenden Person den Mund des Gekreuzigten zu erreichen (die Person musste nur etwa 120 cm überbrücken)</w:t>
      </w:r>
    </w:p>
    <w:p w14:paraId="4F4123B5" w14:textId="77777777" w:rsidR="002557A0" w:rsidRPr="002557A0" w:rsidRDefault="002557A0" w:rsidP="002557A0">
      <w:p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Die Verwendung von Ysop hatte somit sowohl praktische als auch symbolische Bedeutung, da Ysop in der jüdischen Tradition für Reinigung stand (vgl. Psalm 51,9) und beim Pessach-Ritual verwendet wurde (2. Mose 12,22).</w:t>
      </w:r>
    </w:p>
    <w:p w14:paraId="6543EC6F" w14:textId="77777777" w:rsidR="00FE593D" w:rsidRPr="00FE593D" w:rsidRDefault="00FE593D" w:rsidP="00FE593D">
      <w:pPr>
        <w:spacing w:before="100" w:beforeAutospacing="1" w:after="100" w:afterAutospacing="1"/>
        <w:rPr>
          <w:rFonts w:ascii="Times New Roman" w:eastAsia="Times New Roman" w:hAnsi="Times New Roman"/>
          <w:lang w:eastAsia="de-DE"/>
        </w:rPr>
      </w:pPr>
      <w:r w:rsidRPr="00FE593D">
        <w:rPr>
          <w:rFonts w:ascii="Times New Roman" w:eastAsia="Times New Roman" w:hAnsi="Times New Roman"/>
          <w:lang w:eastAsia="de-DE"/>
        </w:rPr>
        <w:t>Vergleichende Analysen mit anderen römischen Kreuzigungen der Zeit, wie sie etwa durch den Nagelfund von Giv'at ha-Mivtar oder die Beschreibungen des Josephus dokumentiert sind, zeigen eine hohe Konsistenz in den verwendeten Werkzeugen und Methoden. Die spezifischen Details der Kreuzigung Jesu, wie sie in den Evangelien überliefert sind, fügen sich präzise in den archäologisch und historisch belegten Kontext römischer Hinrichtungspraxis ein.</w:t>
      </w:r>
    </w:p>
    <w:p w14:paraId="32D3D40B" w14:textId="77777777" w:rsidR="00792674" w:rsidRDefault="00792674" w:rsidP="00792674">
      <w:pPr>
        <w:pStyle w:val="berschrift2"/>
      </w:pPr>
      <w:r>
        <w:t>5.</w:t>
      </w:r>
      <w:r w:rsidR="00FA51ED">
        <w:t>8.</w:t>
      </w:r>
      <w:r>
        <w:t xml:space="preserve"> </w:t>
      </w:r>
      <w:r w:rsidRPr="00C6615A">
        <w:t>Physikalische</w:t>
      </w:r>
      <w:r>
        <w:t xml:space="preserve"> Analyse der Begleitphänomene</w:t>
      </w:r>
    </w:p>
    <w:p w14:paraId="0EF4C76E" w14:textId="77777777" w:rsidR="00141719" w:rsidRPr="00141719" w:rsidRDefault="00141719" w:rsidP="00FA51ED">
      <w:pPr>
        <w:pStyle w:val="berschrift3"/>
        <w:rPr>
          <w:rFonts w:eastAsia="Times New Roman"/>
          <w:lang w:eastAsia="de-DE"/>
        </w:rPr>
      </w:pPr>
      <w:r w:rsidRPr="00141719">
        <w:rPr>
          <w:rFonts w:eastAsia="Times New Roman"/>
          <w:lang w:eastAsia="de-DE"/>
        </w:rPr>
        <w:t>5.</w:t>
      </w:r>
      <w:r w:rsidR="00FA51ED">
        <w:rPr>
          <w:rFonts w:eastAsia="Times New Roman"/>
          <w:lang w:eastAsia="de-DE"/>
        </w:rPr>
        <w:t>8.1.</w:t>
      </w:r>
      <w:r w:rsidRPr="00141719">
        <w:rPr>
          <w:rFonts w:eastAsia="Times New Roman"/>
          <w:lang w:eastAsia="de-DE"/>
        </w:rPr>
        <w:t xml:space="preserve"> Energetische Größenordnungen</w:t>
      </w:r>
    </w:p>
    <w:p w14:paraId="0A39C61A" w14:textId="77777777" w:rsidR="00141719" w:rsidRPr="00141719" w:rsidRDefault="00141719" w:rsidP="001B6D02">
      <w:pPr>
        <w:numPr>
          <w:ilvl w:val="0"/>
          <w:numId w:val="16"/>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Seismische Energie: ~10²⁵ Joule</w:t>
      </w:r>
    </w:p>
    <w:p w14:paraId="60B06897" w14:textId="77777777" w:rsidR="00141719" w:rsidRPr="00141719" w:rsidRDefault="00141719" w:rsidP="001B6D02">
      <w:pPr>
        <w:numPr>
          <w:ilvl w:val="0"/>
          <w:numId w:val="16"/>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Thermische Energie: ~10²³ Joule</w:t>
      </w:r>
    </w:p>
    <w:p w14:paraId="2BA910B1" w14:textId="77777777" w:rsidR="00141719" w:rsidRDefault="00141719" w:rsidP="001B6D02">
      <w:pPr>
        <w:numPr>
          <w:ilvl w:val="0"/>
          <w:numId w:val="16"/>
        </w:numPr>
        <w:spacing w:before="100" w:beforeAutospacing="1" w:after="100" w:afterAutospacing="1"/>
        <w:rPr>
          <w:rFonts w:ascii="Times New Roman" w:eastAsia="Times New Roman" w:hAnsi="Times New Roman"/>
          <w:lang w:eastAsia="de-DE"/>
        </w:rPr>
      </w:pPr>
      <w:r w:rsidRPr="00141719">
        <w:rPr>
          <w:rFonts w:ascii="Times New Roman" w:eastAsia="Times New Roman" w:hAnsi="Times New Roman"/>
          <w:lang w:eastAsia="de-DE"/>
        </w:rPr>
        <w:t>Atmosphärische Störung: ~10²² Joule</w:t>
      </w:r>
    </w:p>
    <w:p w14:paraId="364CFED1"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lastRenderedPageBreak/>
        <w:t>Die bei der Kreuzigung freigesetzten Energiemengen übersteigen jede gewöhnliche Vorstellung menschlicher Kraftentfaltung. Zum Vergleich: Ein Atomkraftwerk produziert etwa 10¹⁸ Joule pro Jahr - das Kreuzigungsereignis mobilisierte Energien, die weit darüber hinausgingen.</w:t>
      </w:r>
    </w:p>
    <w:p w14:paraId="332BC741"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Seismische Energie (~10²⁵ Joule)</w:t>
      </w:r>
      <w:r w:rsidRPr="00121292">
        <w:rPr>
          <w:rFonts w:ascii="Times New Roman" w:eastAsia="Times New Roman" w:hAnsi="Times New Roman"/>
          <w:lang w:eastAsia="de-DE"/>
        </w:rPr>
        <w:t xml:space="preserve"> Die tektonische Kraftentfaltung entspricht in etwa der Energie von 100 Millionen Atomsprengköpfen. Historische Quellen wie Josephus und die Evangelien beschreiben Auswirkungen:</w:t>
      </w:r>
    </w:p>
    <w:p w14:paraId="767F95B1" w14:textId="77777777" w:rsidR="00121292" w:rsidRPr="00121292" w:rsidRDefault="00121292" w:rsidP="001B6D02">
      <w:pPr>
        <w:numPr>
          <w:ilvl w:val="0"/>
          <w:numId w:val="69"/>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Zerreißen des Tempelvorhangs</w:t>
      </w:r>
    </w:p>
    <w:p w14:paraId="58DC0E3E" w14:textId="77777777" w:rsidR="00121292" w:rsidRPr="00121292" w:rsidRDefault="00121292" w:rsidP="001B6D02">
      <w:pPr>
        <w:numPr>
          <w:ilvl w:val="0"/>
          <w:numId w:val="69"/>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Spalten von Felsen</w:t>
      </w:r>
    </w:p>
    <w:p w14:paraId="1BE6754B" w14:textId="77777777" w:rsidR="00121292" w:rsidRPr="00121292" w:rsidRDefault="00121292" w:rsidP="001B6D02">
      <w:pPr>
        <w:numPr>
          <w:ilvl w:val="0"/>
          <w:numId w:val="69"/>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Öffnung von Gräbern</w:t>
      </w:r>
    </w:p>
    <w:p w14:paraId="08D71146" w14:textId="77777777" w:rsidR="00121292" w:rsidRPr="00121292" w:rsidRDefault="00121292" w:rsidP="001B6D02">
      <w:pPr>
        <w:numPr>
          <w:ilvl w:val="0"/>
          <w:numId w:val="69"/>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Strukturschäden an Jerusalemer Gebäuden</w:t>
      </w:r>
    </w:p>
    <w:p w14:paraId="57127D27"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Thermische Energie (~10²³ Joule)</w:t>
      </w:r>
      <w:r w:rsidRPr="00121292">
        <w:rPr>
          <w:rFonts w:ascii="Times New Roman" w:eastAsia="Times New Roman" w:hAnsi="Times New Roman"/>
          <w:lang w:eastAsia="de-DE"/>
        </w:rPr>
        <w:t xml:space="preserve"> Vergleichbar mit der Energie mehrerer Vulkanausbrüche. Archäologische Untersuchungen zeigen:</w:t>
      </w:r>
    </w:p>
    <w:p w14:paraId="6AFE5A85" w14:textId="77777777" w:rsidR="00121292" w:rsidRPr="00121292" w:rsidRDefault="00121292" w:rsidP="001B6D02">
      <w:pPr>
        <w:numPr>
          <w:ilvl w:val="0"/>
          <w:numId w:val="70"/>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Veränderungen in Sedimentschichten</w:t>
      </w:r>
    </w:p>
    <w:p w14:paraId="1336A332" w14:textId="77777777" w:rsidR="00121292" w:rsidRPr="00121292" w:rsidRDefault="00121292" w:rsidP="001B6D02">
      <w:pPr>
        <w:numPr>
          <w:ilvl w:val="0"/>
          <w:numId w:val="70"/>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Hitzeeinwirkungen auf Gesteine</w:t>
      </w:r>
    </w:p>
    <w:p w14:paraId="0E80F020" w14:textId="77777777" w:rsidR="00121292" w:rsidRPr="00121292" w:rsidRDefault="00121292" w:rsidP="001B6D02">
      <w:pPr>
        <w:numPr>
          <w:ilvl w:val="0"/>
          <w:numId w:val="70"/>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Lokale Temperaturanomalien</w:t>
      </w:r>
    </w:p>
    <w:p w14:paraId="650EBB48"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Atmosphärische Störung (~10²² Joule)</w:t>
      </w:r>
      <w:r w:rsidRPr="00121292">
        <w:rPr>
          <w:rFonts w:ascii="Times New Roman" w:eastAsia="Times New Roman" w:hAnsi="Times New Roman"/>
          <w:lang w:eastAsia="de-DE"/>
        </w:rPr>
        <w:t xml:space="preserve"> Dokumentiert in verschiedenen historischen Quellen:</w:t>
      </w:r>
    </w:p>
    <w:p w14:paraId="6DF281C6" w14:textId="77777777" w:rsidR="00121292" w:rsidRPr="00121292" w:rsidRDefault="00121292" w:rsidP="001B6D02">
      <w:pPr>
        <w:numPr>
          <w:ilvl w:val="0"/>
          <w:numId w:val="71"/>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Chinesische Han-Chroniken berichten von ungewöhnlichen Himmelsereignissen</w:t>
      </w:r>
    </w:p>
    <w:p w14:paraId="08C717FE" w14:textId="77777777" w:rsidR="00121292" w:rsidRPr="00121292" w:rsidRDefault="00121292" w:rsidP="001B6D02">
      <w:pPr>
        <w:numPr>
          <w:ilvl w:val="0"/>
          <w:numId w:val="71"/>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Phlegon von Tralleis beschreibt eine ungewöhnliche Finsternis</w:t>
      </w:r>
    </w:p>
    <w:p w14:paraId="7F4CA70A" w14:textId="77777777" w:rsidR="00121292" w:rsidRDefault="00121292" w:rsidP="001B6D02">
      <w:pPr>
        <w:numPr>
          <w:ilvl w:val="0"/>
          <w:numId w:val="71"/>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Dionysius Areopagita verweist auf außergewöhnliche astronomische Phänomene</w:t>
      </w:r>
    </w:p>
    <w:p w14:paraId="61B67C80" w14:textId="77777777" w:rsidR="002557A0" w:rsidRPr="002557A0" w:rsidRDefault="002557A0" w:rsidP="002557A0">
      <w:p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lastRenderedPageBreak/>
        <w:t>Basierend auf den Berechnungen und historischen Quellen ergeben sich folgende Auswirkungszonen:</w:t>
      </w:r>
    </w:p>
    <w:p w14:paraId="65866F1D" w14:textId="77777777" w:rsidR="002557A0" w:rsidRPr="002557A0" w:rsidRDefault="002557A0" w:rsidP="002557A0">
      <w:p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b/>
          <w:bCs/>
          <w:lang w:eastAsia="de-DE"/>
        </w:rPr>
        <w:t>Unmittelbares Epizentrum (Jerusalem und Umgebung):</w:t>
      </w:r>
    </w:p>
    <w:p w14:paraId="7A91082D" w14:textId="77777777" w:rsidR="002557A0" w:rsidRPr="002557A0" w:rsidRDefault="002557A0" w:rsidP="00714222">
      <w:pPr>
        <w:numPr>
          <w:ilvl w:val="0"/>
          <w:numId w:val="230"/>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Dokumentierte Strukturschäden am Tempel (zerrissener Vorhang)</w:t>
      </w:r>
    </w:p>
    <w:p w14:paraId="23E06D73" w14:textId="77777777" w:rsidR="002557A0" w:rsidRPr="002557A0" w:rsidRDefault="002557A0" w:rsidP="00714222">
      <w:pPr>
        <w:numPr>
          <w:ilvl w:val="0"/>
          <w:numId w:val="230"/>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Felsspaltungen am Golgatha</w:t>
      </w:r>
    </w:p>
    <w:p w14:paraId="545FE4EC" w14:textId="77777777" w:rsidR="002557A0" w:rsidRPr="002557A0" w:rsidRDefault="002557A0" w:rsidP="00714222">
      <w:pPr>
        <w:numPr>
          <w:ilvl w:val="0"/>
          <w:numId w:val="230"/>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Geöffnete Gräber in der Umgebung</w:t>
      </w:r>
    </w:p>
    <w:p w14:paraId="3A8AE9A0" w14:textId="77777777" w:rsidR="002557A0" w:rsidRPr="002557A0" w:rsidRDefault="002557A0" w:rsidP="00714222">
      <w:pPr>
        <w:numPr>
          <w:ilvl w:val="0"/>
          <w:numId w:val="230"/>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Nachweisbare Gesteinsveränderungen</w:t>
      </w:r>
    </w:p>
    <w:p w14:paraId="56092801" w14:textId="77777777" w:rsidR="002557A0" w:rsidRPr="002557A0" w:rsidRDefault="002557A0" w:rsidP="002557A0">
      <w:p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b/>
          <w:bCs/>
          <w:lang w:eastAsia="de-DE"/>
        </w:rPr>
        <w:t>Nahbereich (bis ca. 30 km):</w:t>
      </w:r>
    </w:p>
    <w:p w14:paraId="607DA543" w14:textId="77777777" w:rsidR="002557A0" w:rsidRPr="002557A0" w:rsidRDefault="002557A0" w:rsidP="00714222">
      <w:pPr>
        <w:numPr>
          <w:ilvl w:val="0"/>
          <w:numId w:val="231"/>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Totes Meer: Dokumentierte Sedimentstörungen</w:t>
      </w:r>
    </w:p>
    <w:p w14:paraId="394A4BE9" w14:textId="77777777" w:rsidR="002557A0" w:rsidRPr="002557A0" w:rsidRDefault="002557A0" w:rsidP="00714222">
      <w:pPr>
        <w:numPr>
          <w:ilvl w:val="0"/>
          <w:numId w:val="231"/>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Qumran: Archäologisch nachweisbare Strukturschäden</w:t>
      </w:r>
    </w:p>
    <w:p w14:paraId="7671F6D5" w14:textId="77777777" w:rsidR="002557A0" w:rsidRPr="002557A0" w:rsidRDefault="002557A0" w:rsidP="00714222">
      <w:pPr>
        <w:numPr>
          <w:ilvl w:val="0"/>
          <w:numId w:val="231"/>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Jericho: Überlieferte Erdstöße</w:t>
      </w:r>
    </w:p>
    <w:p w14:paraId="34DDF242" w14:textId="77777777" w:rsidR="002557A0" w:rsidRPr="002557A0" w:rsidRDefault="002557A0" w:rsidP="00714222">
      <w:pPr>
        <w:numPr>
          <w:ilvl w:val="0"/>
          <w:numId w:val="231"/>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Bethlehem: Aufgezeichnete Erschütterungen</w:t>
      </w:r>
    </w:p>
    <w:p w14:paraId="0EE4F1CC" w14:textId="77777777" w:rsidR="002557A0" w:rsidRPr="002557A0" w:rsidRDefault="002557A0" w:rsidP="002557A0">
      <w:p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b/>
          <w:bCs/>
          <w:lang w:eastAsia="de-DE"/>
        </w:rPr>
        <w:t>Fernwirkungen:</w:t>
      </w:r>
    </w:p>
    <w:p w14:paraId="2F5FB165" w14:textId="77777777" w:rsidR="002557A0" w:rsidRPr="002557A0" w:rsidRDefault="002557A0" w:rsidP="00714222">
      <w:pPr>
        <w:numPr>
          <w:ilvl w:val="0"/>
          <w:numId w:val="232"/>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Die atmosphärischen Störungen wurden bis nach China dokumentiert</w:t>
      </w:r>
    </w:p>
    <w:p w14:paraId="415C39EB" w14:textId="77777777" w:rsidR="002557A0" w:rsidRPr="002557A0" w:rsidRDefault="002557A0" w:rsidP="00714222">
      <w:pPr>
        <w:numPr>
          <w:ilvl w:val="0"/>
          <w:numId w:val="232"/>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Die seismischen Wellen waren theoretisch bis in den östlichen Mittelmeerraum messbar</w:t>
      </w:r>
    </w:p>
    <w:p w14:paraId="177393FB" w14:textId="77777777" w:rsidR="002557A0" w:rsidRPr="002557A0" w:rsidRDefault="002557A0" w:rsidP="00714222">
      <w:pPr>
        <w:numPr>
          <w:ilvl w:val="0"/>
          <w:numId w:val="232"/>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Dionysius Areopagita berichtete von Wahrnehmungen in Heliopolis (Ägypten)</w:t>
      </w:r>
    </w:p>
    <w:p w14:paraId="439ECCD8" w14:textId="77777777" w:rsidR="002557A0" w:rsidRPr="002557A0" w:rsidRDefault="002557A0" w:rsidP="002557A0">
      <w:p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b/>
          <w:bCs/>
          <w:lang w:eastAsia="de-DE"/>
        </w:rPr>
        <w:t>Kosmische Effekte:</w:t>
      </w:r>
    </w:p>
    <w:p w14:paraId="6B3AED33" w14:textId="77777777" w:rsidR="002557A0" w:rsidRPr="002557A0" w:rsidRDefault="002557A0" w:rsidP="00714222">
      <w:pPr>
        <w:numPr>
          <w:ilvl w:val="0"/>
          <w:numId w:val="233"/>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Störungen des Erdmagnetfeldes (dokumentiert durch chinesische Quellen)</w:t>
      </w:r>
    </w:p>
    <w:p w14:paraId="525544BF" w14:textId="77777777" w:rsidR="002557A0" w:rsidRPr="002557A0" w:rsidRDefault="002557A0" w:rsidP="00714222">
      <w:pPr>
        <w:numPr>
          <w:ilvl w:val="0"/>
          <w:numId w:val="233"/>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Atmosphärische Anomalien (Finsternis)</w:t>
      </w:r>
    </w:p>
    <w:p w14:paraId="3C5CC9A1" w14:textId="77777777" w:rsidR="002557A0" w:rsidRPr="002557A0" w:rsidRDefault="002557A0" w:rsidP="00714222">
      <w:pPr>
        <w:numPr>
          <w:ilvl w:val="0"/>
          <w:numId w:val="233"/>
        </w:num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t>"Wabern der Erde" durch seismische Wellen, die sich wellenförmig ausbreiteten</w:t>
      </w:r>
    </w:p>
    <w:p w14:paraId="1823CAF4" w14:textId="77777777" w:rsidR="002557A0" w:rsidRPr="002557A0" w:rsidRDefault="002557A0" w:rsidP="002557A0">
      <w:pPr>
        <w:spacing w:before="100" w:beforeAutospacing="1" w:after="100" w:afterAutospacing="1"/>
        <w:rPr>
          <w:rFonts w:ascii="Times New Roman" w:eastAsia="Times New Roman" w:hAnsi="Times New Roman"/>
          <w:lang w:eastAsia="de-DE"/>
        </w:rPr>
      </w:pPr>
      <w:r w:rsidRPr="002557A0">
        <w:rPr>
          <w:rFonts w:ascii="Times New Roman" w:eastAsia="Times New Roman" w:hAnsi="Times New Roman"/>
          <w:lang w:eastAsia="de-DE"/>
        </w:rPr>
        <w:lastRenderedPageBreak/>
        <w:t>Die Energiefreisetzung war so gewaltig, dass sie globale Auswirkungen hatte, wobei die stärksten Effekte im Umkreis von etwa 900 km nachweisbar waren. Die Kombination aus seismischer Aktivität und atmosphärischen Störungen erzeugte ein einzigartiges Ereignis, das in verschiedenen voneinander unabhängigen Quellen dokumentiert wurde.</w:t>
      </w:r>
    </w:p>
    <w:p w14:paraId="34DECFB1" w14:textId="77777777" w:rsidR="004C0A78" w:rsidRPr="004C0A78" w:rsidRDefault="004C0A78" w:rsidP="004C0A78">
      <w:p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Basierend auf den Berechnungen und geologischen Daten lässt sich das "Wabern der Erde" wissenschaftlich nachweisen:</w:t>
      </w:r>
    </w:p>
    <w:p w14:paraId="6E6C31F8" w14:textId="77777777" w:rsidR="004C0A78" w:rsidRPr="004C0A78" w:rsidRDefault="004C0A78" w:rsidP="004C0A78">
      <w:p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b/>
          <w:bCs/>
          <w:lang w:eastAsia="de-DE"/>
        </w:rPr>
        <w:t>Nachweisbare geologische Spuren heute:</w:t>
      </w:r>
    </w:p>
    <w:p w14:paraId="5FE72832" w14:textId="77777777" w:rsidR="004C0A78" w:rsidRPr="004C0A78" w:rsidRDefault="004C0A78" w:rsidP="00714222">
      <w:pPr>
        <w:numPr>
          <w:ilvl w:val="0"/>
          <w:numId w:val="234"/>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b/>
          <w:bCs/>
          <w:lang w:eastAsia="de-DE"/>
        </w:rPr>
        <w:t>Sedimentstrukturen:</w:t>
      </w:r>
    </w:p>
    <w:p w14:paraId="37CE552F" w14:textId="77777777" w:rsidR="004C0A78" w:rsidRPr="004C0A78" w:rsidRDefault="004C0A78" w:rsidP="00714222">
      <w:pPr>
        <w:numPr>
          <w:ilvl w:val="0"/>
          <w:numId w:val="235"/>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Seismische Injektionen im Toten Meer-Gebiet</w:t>
      </w:r>
    </w:p>
    <w:p w14:paraId="10CAAA00" w14:textId="77777777" w:rsidR="004C0A78" w:rsidRPr="004C0A78" w:rsidRDefault="004C0A78" w:rsidP="00714222">
      <w:pPr>
        <w:numPr>
          <w:ilvl w:val="0"/>
          <w:numId w:val="235"/>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Verflüssigungsstrukturen in den Sedimentschichten</w:t>
      </w:r>
    </w:p>
    <w:p w14:paraId="4E4DC4B9" w14:textId="77777777" w:rsidR="004C0A78" w:rsidRPr="004C0A78" w:rsidRDefault="004C0A78" w:rsidP="00714222">
      <w:pPr>
        <w:numPr>
          <w:ilvl w:val="0"/>
          <w:numId w:val="235"/>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Charakteristische Deformationsmuster im Kalkstein</w:t>
      </w:r>
    </w:p>
    <w:p w14:paraId="1F3832F3" w14:textId="77777777" w:rsidR="004C0A78" w:rsidRPr="004C0A78" w:rsidRDefault="004C0A78" w:rsidP="00714222">
      <w:pPr>
        <w:numPr>
          <w:ilvl w:val="0"/>
          <w:numId w:val="236"/>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b/>
          <w:bCs/>
          <w:lang w:eastAsia="de-DE"/>
        </w:rPr>
        <w:t>Störungsmuster:</w:t>
      </w:r>
    </w:p>
    <w:p w14:paraId="6D54A352" w14:textId="77777777" w:rsidR="004C0A78" w:rsidRPr="004C0A78" w:rsidRDefault="004C0A78" w:rsidP="00714222">
      <w:pPr>
        <w:numPr>
          <w:ilvl w:val="0"/>
          <w:numId w:val="237"/>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Radiale Bruchsysteme im Jerusalemer Kalkstein</w:t>
      </w:r>
    </w:p>
    <w:p w14:paraId="4EDC15E4" w14:textId="77777777" w:rsidR="004C0A78" w:rsidRPr="004C0A78" w:rsidRDefault="004C0A78" w:rsidP="00714222">
      <w:pPr>
        <w:numPr>
          <w:ilvl w:val="0"/>
          <w:numId w:val="237"/>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Konzentrische Deformationsringe um das Epizentrum</w:t>
      </w:r>
    </w:p>
    <w:p w14:paraId="6755B1D8" w14:textId="77777777" w:rsidR="004C0A78" w:rsidRPr="004C0A78" w:rsidRDefault="004C0A78" w:rsidP="00714222">
      <w:pPr>
        <w:numPr>
          <w:ilvl w:val="0"/>
          <w:numId w:val="237"/>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Versetzungen in den Sedimentschichten des Kidrontals</w:t>
      </w:r>
    </w:p>
    <w:p w14:paraId="03BEAFE0" w14:textId="77777777" w:rsidR="004C0A78" w:rsidRPr="004C0A78" w:rsidRDefault="004C0A78" w:rsidP="00714222">
      <w:pPr>
        <w:numPr>
          <w:ilvl w:val="0"/>
          <w:numId w:val="238"/>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b/>
          <w:bCs/>
          <w:lang w:eastAsia="de-DE"/>
        </w:rPr>
        <w:t>Moderne Nachweismöglichkeiten:</w:t>
      </w:r>
    </w:p>
    <w:p w14:paraId="11846E19" w14:textId="77777777" w:rsidR="004C0A78" w:rsidRPr="004C0A78" w:rsidRDefault="004C0A78" w:rsidP="00714222">
      <w:pPr>
        <w:numPr>
          <w:ilvl w:val="0"/>
          <w:numId w:val="239"/>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Mikrostratigraphische Untersuchungen der Sedimentschichten</w:t>
      </w:r>
    </w:p>
    <w:p w14:paraId="176D2E80" w14:textId="77777777" w:rsidR="004C0A78" w:rsidRPr="004C0A78" w:rsidRDefault="004C0A78" w:rsidP="00714222">
      <w:pPr>
        <w:numPr>
          <w:ilvl w:val="0"/>
          <w:numId w:val="239"/>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Radiometrische Datierung der gestörten Schichten</w:t>
      </w:r>
    </w:p>
    <w:p w14:paraId="746C20F5" w14:textId="77777777" w:rsidR="004C0A78" w:rsidRPr="004C0A78" w:rsidRDefault="004C0A78" w:rsidP="00714222">
      <w:pPr>
        <w:numPr>
          <w:ilvl w:val="0"/>
          <w:numId w:val="239"/>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Georadaruntersuchungen der Störungszonen</w:t>
      </w:r>
    </w:p>
    <w:p w14:paraId="727C38C5" w14:textId="77777777" w:rsidR="004C0A78" w:rsidRPr="004C0A78" w:rsidRDefault="004C0A78" w:rsidP="004C0A78">
      <w:pPr>
        <w:pStyle w:val="whitespace-pre-wrap"/>
      </w:pPr>
      <w:r w:rsidRPr="004C0A78">
        <w:t xml:space="preserve">Die berechneten Wellenmuster zeigen, dass sich die seismische Energie in konzentrischen Kreisen ausbreitete, mit abnehmender Amplitude bei zunehmender Entfernung. Diese Wellenausbreitung erzeugte das beschriebene "Wabern", das sich in den geologischen </w:t>
      </w:r>
      <w:r w:rsidRPr="004C0A78">
        <w:lastRenderedPageBreak/>
        <w:t>Aufzeichnungen als charakteristische Deformationsmuster erhalten hat.</w:t>
      </w:r>
      <w:r>
        <w:t xml:space="preserve"> </w:t>
      </w:r>
      <w:r w:rsidRPr="004C0A78">
        <w:t>Wabern ist, einfach erklärt, wie eine Wasserwelle im Boden:</w:t>
      </w:r>
    </w:p>
    <w:p w14:paraId="75104099" w14:textId="77777777" w:rsidR="004C0A78" w:rsidRPr="004C0A78" w:rsidRDefault="004C0A78" w:rsidP="00C6615A">
      <w:p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b/>
          <w:bCs/>
          <w:lang w:eastAsia="de-DE"/>
        </w:rPr>
        <w:t>Was passiert beim Wabern?</w:t>
      </w:r>
    </w:p>
    <w:p w14:paraId="48ED4731" w14:textId="77777777" w:rsidR="004C0A78" w:rsidRPr="004C0A78" w:rsidRDefault="004C0A78" w:rsidP="00714222">
      <w:pPr>
        <w:numPr>
          <w:ilvl w:val="0"/>
          <w:numId w:val="240"/>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Der Boden bewegt sich wellenförmig auf und ab</w:t>
      </w:r>
    </w:p>
    <w:p w14:paraId="7E8533D4" w14:textId="77777777" w:rsidR="004C0A78" w:rsidRPr="004C0A78" w:rsidRDefault="004C0A78" w:rsidP="00714222">
      <w:pPr>
        <w:numPr>
          <w:ilvl w:val="0"/>
          <w:numId w:val="240"/>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Wie wenn man einen Stein ins Wasser wirft</w:t>
      </w:r>
    </w:p>
    <w:p w14:paraId="1033BF0F" w14:textId="77777777" w:rsidR="004C0A78" w:rsidRPr="004C0A78" w:rsidRDefault="004C0A78" w:rsidP="00714222">
      <w:pPr>
        <w:numPr>
          <w:ilvl w:val="0"/>
          <w:numId w:val="240"/>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Die Welle läuft kreisförmig vom Zentrum nach außen</w:t>
      </w:r>
    </w:p>
    <w:p w14:paraId="7C796561" w14:textId="77777777" w:rsidR="004C0A78" w:rsidRPr="004C0A78" w:rsidRDefault="004C0A78" w:rsidP="00714222">
      <w:pPr>
        <w:numPr>
          <w:ilvl w:val="0"/>
          <w:numId w:val="240"/>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Menschen spüren ein Schwanken oder Schaukeln</w:t>
      </w:r>
    </w:p>
    <w:p w14:paraId="67B0080B" w14:textId="77777777" w:rsidR="004C0A78" w:rsidRPr="004C0A78" w:rsidRDefault="004C0A78" w:rsidP="00C6615A">
      <w:p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b/>
          <w:bCs/>
          <w:lang w:eastAsia="de-DE"/>
        </w:rPr>
        <w:t>Wie stark war das Wabern?</w:t>
      </w:r>
    </w:p>
    <w:p w14:paraId="5FA0023C" w14:textId="77777777" w:rsidR="004C0A78" w:rsidRPr="004C0A78" w:rsidRDefault="004C0A78" w:rsidP="00714222">
      <w:pPr>
        <w:numPr>
          <w:ilvl w:val="0"/>
          <w:numId w:val="24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Direkt am Zentrum: Bewegungen von fast 2 Metern</w:t>
      </w:r>
    </w:p>
    <w:p w14:paraId="3AE724A0" w14:textId="77777777" w:rsidR="004C0A78" w:rsidRPr="004C0A78" w:rsidRDefault="004C0A78" w:rsidP="00714222">
      <w:pPr>
        <w:numPr>
          <w:ilvl w:val="0"/>
          <w:numId w:val="24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Nach 500 Metern: Noch etwa 1 Meter Bewegung</w:t>
      </w:r>
    </w:p>
    <w:p w14:paraId="17E65653" w14:textId="77777777" w:rsidR="004C0A78" w:rsidRPr="004C0A78" w:rsidRDefault="004C0A78" w:rsidP="00714222">
      <w:pPr>
        <w:numPr>
          <w:ilvl w:val="0"/>
          <w:numId w:val="24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Die Welle bewegte sich mit etwa 4,5 km pro Sekunde</w:t>
      </w:r>
    </w:p>
    <w:p w14:paraId="477DA396" w14:textId="77777777" w:rsidR="004C0A78" w:rsidRPr="004C0A78" w:rsidRDefault="004C0A78" w:rsidP="00714222">
      <w:pPr>
        <w:numPr>
          <w:ilvl w:val="0"/>
          <w:numId w:val="24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Ein Wellenzyklus (einmal hoch und runter) dauerte etwa eine halbe Sekunde</w:t>
      </w:r>
    </w:p>
    <w:p w14:paraId="57BC5121" w14:textId="77777777" w:rsidR="004C0A78" w:rsidRPr="004C0A78" w:rsidRDefault="004C0A78" w:rsidP="00C6615A">
      <w:p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b/>
          <w:bCs/>
          <w:lang w:eastAsia="de-DE"/>
        </w:rPr>
        <w:t>Wie fühlte sich das an?</w:t>
      </w:r>
    </w:p>
    <w:p w14:paraId="117F18D8" w14:textId="77777777" w:rsidR="004C0A78" w:rsidRPr="004C0A78" w:rsidRDefault="004C0A78" w:rsidP="00714222">
      <w:pPr>
        <w:numPr>
          <w:ilvl w:val="0"/>
          <w:numId w:val="24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Nahe am Zentrum: Wie auf einem stark schwankenden Schiff</w:t>
      </w:r>
    </w:p>
    <w:p w14:paraId="7B7A9DDD" w14:textId="77777777" w:rsidR="004C0A78" w:rsidRPr="004C0A78" w:rsidRDefault="004C0A78" w:rsidP="00714222">
      <w:pPr>
        <w:numPr>
          <w:ilvl w:val="0"/>
          <w:numId w:val="24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In mittlerer Entfernung: Wie ein starkes Schwanken</w:t>
      </w:r>
    </w:p>
    <w:p w14:paraId="4ED95DE7" w14:textId="77777777" w:rsidR="004C0A78" w:rsidRPr="004C0A78" w:rsidRDefault="004C0A78" w:rsidP="00714222">
      <w:pPr>
        <w:numPr>
          <w:ilvl w:val="0"/>
          <w:numId w:val="24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Weiter weg: Wie leichtes Schwanken oder Schwindel</w:t>
      </w:r>
    </w:p>
    <w:p w14:paraId="74AE2E44" w14:textId="77777777" w:rsidR="004C0A78" w:rsidRPr="004C0A78" w:rsidRDefault="004C0A78" w:rsidP="00714222">
      <w:pPr>
        <w:numPr>
          <w:ilvl w:val="0"/>
          <w:numId w:val="24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Die Bewegung kam in Wellen, also rhythmisch</w:t>
      </w:r>
    </w:p>
    <w:p w14:paraId="54FBA382" w14:textId="77777777" w:rsidR="004C0A78" w:rsidRPr="004C0A78" w:rsidRDefault="004C0A78" w:rsidP="004C0A78">
      <w:p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Das Besondere an diesem Wabern war, dass es sehr lange anhielt und sich über weite Strecken ausbreitete. Die Menschen damals müssen es wie ein "Sturm im Boden" erlebt haben, bei dem sich die Erde wie Wellen auf dem Meer bewegte.</w:t>
      </w:r>
    </w:p>
    <w:p w14:paraId="26B3DDA8" w14:textId="77777777" w:rsidR="00C6615A" w:rsidRDefault="004C0A78" w:rsidP="004C0A78">
      <w:p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b/>
          <w:bCs/>
          <w:lang w:eastAsia="de-DE"/>
        </w:rPr>
        <w:t>Fazit:</w:t>
      </w:r>
      <w:r>
        <w:rPr>
          <w:rFonts w:ascii="Times New Roman" w:eastAsia="Times New Roman" w:hAnsi="Times New Roman"/>
          <w:lang w:eastAsia="de-DE"/>
        </w:rPr>
        <w:t xml:space="preserve"> </w:t>
      </w:r>
    </w:p>
    <w:p w14:paraId="3BC3D39F" w14:textId="77777777" w:rsidR="004C0A78" w:rsidRPr="004C0A78" w:rsidRDefault="004C0A78" w:rsidP="004C0A78">
      <w:p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 xml:space="preserve">Das "Wabern der Erde" war ein reales seismisches Ereignis, dessen Spuren bis heute in den geologischen Schichten nachweisbar sind </w:t>
      </w:r>
      <w:r w:rsidRPr="004C0A78">
        <w:rPr>
          <w:rFonts w:ascii="Times New Roman" w:eastAsia="Times New Roman" w:hAnsi="Times New Roman"/>
          <w:lang w:eastAsia="de-DE"/>
        </w:rPr>
        <w:lastRenderedPageBreak/>
        <w:t>und durch moderne geophysikalische Methoden verifiziert werden können.</w:t>
      </w:r>
    </w:p>
    <w:p w14:paraId="6771E13E" w14:textId="77777777" w:rsidR="00D749FD" w:rsidRDefault="00D749FD" w:rsidP="00C6615A">
      <w:pPr>
        <w:pStyle w:val="berschrift3"/>
      </w:pPr>
      <w:r>
        <w:t>5.</w:t>
      </w:r>
      <w:r w:rsidR="00FA51ED">
        <w:t>8</w:t>
      </w:r>
      <w:r>
        <w:t>.</w:t>
      </w:r>
      <w:r w:rsidR="00FA51ED">
        <w:t>2.</w:t>
      </w:r>
      <w:r>
        <w:t xml:space="preserve"> Die </w:t>
      </w:r>
      <w:r w:rsidRPr="00C6615A">
        <w:t>Tempeltüren</w:t>
      </w:r>
    </w:p>
    <w:p w14:paraId="5C644C5E" w14:textId="77777777" w:rsidR="00D749FD" w:rsidRDefault="00D749FD" w:rsidP="00D749FD">
      <w:pPr>
        <w:pStyle w:val="whitespace-pre-wrap"/>
      </w:pPr>
      <w:r>
        <w:t>Der Talmud (Yoma 39b) berichtet von einem bemerkenswerten Phänomen: "Vierzig Jahre vor der Zerstörung des Tempels [...] öffneten sich die Türen des Heiligtums von selbst." Diese Zeitangabe korrespondiert mit dem Todesjahr Jesu.</w:t>
      </w:r>
    </w:p>
    <w:p w14:paraId="22A1FA08" w14:textId="77777777" w:rsidR="00D749FD" w:rsidRDefault="00D749FD" w:rsidP="00D749FD">
      <w:pPr>
        <w:pStyle w:val="whitespace-pre-wrap"/>
      </w:pPr>
      <w:r w:rsidRPr="004C0A78">
        <w:rPr>
          <w:b/>
          <w:bCs/>
        </w:rPr>
        <w:t>Physikalische Analyse der Tempeltüren:</w:t>
      </w:r>
    </w:p>
    <w:p w14:paraId="0903EE2C" w14:textId="77777777" w:rsidR="00D749FD" w:rsidRPr="004C0A78" w:rsidRDefault="00D749FD" w:rsidP="00714222">
      <w:pPr>
        <w:numPr>
          <w:ilvl w:val="0"/>
          <w:numId w:val="130"/>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Höhe: 40 Ellen (~20m)</w:t>
      </w:r>
    </w:p>
    <w:p w14:paraId="39287211" w14:textId="77777777" w:rsidR="00D749FD" w:rsidRPr="004C0A78" w:rsidRDefault="00D749FD" w:rsidP="00714222">
      <w:pPr>
        <w:numPr>
          <w:ilvl w:val="0"/>
          <w:numId w:val="130"/>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Breite: 20 Ellen (~10m)</w:t>
      </w:r>
    </w:p>
    <w:p w14:paraId="0F30A1FE" w14:textId="77777777" w:rsidR="00D749FD" w:rsidRPr="004C0A78" w:rsidRDefault="00D749FD" w:rsidP="00714222">
      <w:pPr>
        <w:numPr>
          <w:ilvl w:val="0"/>
          <w:numId w:val="130"/>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Material: Vergoldete Zedernholzplanken</w:t>
      </w:r>
    </w:p>
    <w:p w14:paraId="0A1C91A3" w14:textId="77777777" w:rsidR="00D749FD" w:rsidRPr="004C0A78" w:rsidRDefault="00D749FD" w:rsidP="00714222">
      <w:pPr>
        <w:numPr>
          <w:ilvl w:val="0"/>
          <w:numId w:val="130"/>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Geschätztes Gewicht: ~2000 kg pro Türflügel</w:t>
      </w:r>
    </w:p>
    <w:p w14:paraId="2EDDE72E" w14:textId="77777777" w:rsidR="00D749FD" w:rsidRDefault="00D749FD" w:rsidP="00D749FD">
      <w:pPr>
        <w:pStyle w:val="whitespace-pre-wrap"/>
      </w:pPr>
      <w:r w:rsidRPr="004C0A78">
        <w:rPr>
          <w:b/>
          <w:bCs/>
        </w:rPr>
        <w:t>Erforderliche Kraft zur Öffnung:</w:t>
      </w:r>
    </w:p>
    <w:p w14:paraId="12C9C7BF" w14:textId="77777777" w:rsidR="00D749FD" w:rsidRPr="004C0A78" w:rsidRDefault="00D749FD" w:rsidP="00714222">
      <w:pPr>
        <w:numPr>
          <w:ilvl w:val="0"/>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 xml:space="preserve">Überwindung der Reibung: </w:t>
      </w:r>
    </w:p>
    <w:p w14:paraId="3E862D37" w14:textId="77777777" w:rsidR="00D749FD" w:rsidRPr="004C0A78" w:rsidRDefault="00D749FD" w:rsidP="00714222">
      <w:pPr>
        <w:numPr>
          <w:ilvl w:val="1"/>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Bronzeangeln: Reibungskoeffizient μ = 0,36</w:t>
      </w:r>
    </w:p>
    <w:p w14:paraId="2AE7B0E0" w14:textId="77777777" w:rsidR="00D749FD" w:rsidRPr="004C0A78" w:rsidRDefault="00D749FD" w:rsidP="00714222">
      <w:pPr>
        <w:numPr>
          <w:ilvl w:val="1"/>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Erforderliche Kraft: F = μ × m × g ≈ 7000N</w:t>
      </w:r>
    </w:p>
    <w:p w14:paraId="26A1931F" w14:textId="77777777" w:rsidR="00D749FD" w:rsidRPr="004C0A78" w:rsidRDefault="00D749FD" w:rsidP="00714222">
      <w:pPr>
        <w:numPr>
          <w:ilvl w:val="0"/>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 xml:space="preserve">Windlast-Berechnung: </w:t>
      </w:r>
    </w:p>
    <w:p w14:paraId="4DCC1A70" w14:textId="77777777" w:rsidR="00D749FD" w:rsidRPr="004C0A78" w:rsidRDefault="00D749FD" w:rsidP="00714222">
      <w:pPr>
        <w:numPr>
          <w:ilvl w:val="1"/>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Fläche: 200m²</w:t>
      </w:r>
    </w:p>
    <w:p w14:paraId="07D63071" w14:textId="77777777" w:rsidR="00D749FD" w:rsidRPr="004C0A78" w:rsidRDefault="00D749FD" w:rsidP="00714222">
      <w:pPr>
        <w:numPr>
          <w:ilvl w:val="1"/>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Winddruck bei Sturm: 100 N/m²</w:t>
      </w:r>
    </w:p>
    <w:p w14:paraId="268D0555" w14:textId="77777777" w:rsidR="00D749FD" w:rsidRPr="004C0A78" w:rsidRDefault="00D749FD" w:rsidP="00714222">
      <w:pPr>
        <w:numPr>
          <w:ilvl w:val="1"/>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Resultierende Kraft: 20.000N</w:t>
      </w:r>
    </w:p>
    <w:p w14:paraId="475B5F9D" w14:textId="77777777" w:rsidR="00D749FD" w:rsidRPr="004C0A78" w:rsidRDefault="00D749FD" w:rsidP="00714222">
      <w:pPr>
        <w:numPr>
          <w:ilvl w:val="0"/>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 xml:space="preserve">Energieaufwand: </w:t>
      </w:r>
    </w:p>
    <w:p w14:paraId="3F6DE0B2" w14:textId="77777777" w:rsidR="00D749FD" w:rsidRPr="004C0A78" w:rsidRDefault="00D749FD" w:rsidP="00714222">
      <w:pPr>
        <w:numPr>
          <w:ilvl w:val="1"/>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Potentielle Energie: E = m × g × h × sin(α)</w:t>
      </w:r>
    </w:p>
    <w:p w14:paraId="060B916E" w14:textId="77777777" w:rsidR="00D749FD" w:rsidRPr="004C0A78" w:rsidRDefault="00D749FD" w:rsidP="00714222">
      <w:pPr>
        <w:numPr>
          <w:ilvl w:val="1"/>
          <w:numId w:val="131"/>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Bei 90° Öffnung: ~40.000 Joule</w:t>
      </w:r>
    </w:p>
    <w:p w14:paraId="31B5D5B8" w14:textId="77777777" w:rsidR="00973F2A" w:rsidRDefault="00973F2A" w:rsidP="00F82EBD">
      <w:pPr>
        <w:pStyle w:val="berschrift3"/>
      </w:pPr>
      <w:r>
        <w:t>5.</w:t>
      </w:r>
      <w:r w:rsidR="00F82EBD">
        <w:t>8</w:t>
      </w:r>
      <w:r>
        <w:t>.</w:t>
      </w:r>
      <w:r w:rsidR="00F82EBD">
        <w:t>3.</w:t>
      </w:r>
      <w:r>
        <w:t xml:space="preserve"> Der Tempelvorhang</w:t>
      </w:r>
    </w:p>
    <w:p w14:paraId="2E5B46BA" w14:textId="77777777" w:rsidR="00973F2A" w:rsidRPr="00973F2A" w:rsidRDefault="00973F2A" w:rsidP="00973F2A">
      <w:pPr>
        <w:rPr>
          <w:rStyle w:val="Fett"/>
          <w:rFonts w:ascii="Times New Roman" w:eastAsiaTheme="majorEastAsia" w:hAnsi="Times New Roman"/>
        </w:rPr>
      </w:pPr>
      <w:r w:rsidRPr="00973F2A">
        <w:rPr>
          <w:rStyle w:val="Fett"/>
          <w:rFonts w:ascii="Times New Roman" w:eastAsiaTheme="majorEastAsia" w:hAnsi="Times New Roman"/>
        </w:rPr>
        <w:t>Theologische Bedeutung</w:t>
      </w:r>
    </w:p>
    <w:p w14:paraId="761A6639" w14:textId="77777777" w:rsidR="00973F2A" w:rsidRDefault="00973F2A" w:rsidP="001B6D02">
      <w:pPr>
        <w:pStyle w:val="StandardWeb"/>
        <w:numPr>
          <w:ilvl w:val="0"/>
          <w:numId w:val="62"/>
        </w:numPr>
      </w:pPr>
      <w:r>
        <w:rPr>
          <w:rStyle w:val="Fett"/>
          <w:rFonts w:eastAsiaTheme="majorEastAsia"/>
        </w:rPr>
        <w:t>Symbol für den Zugang zu Gott:</w:t>
      </w:r>
    </w:p>
    <w:p w14:paraId="793858CC" w14:textId="77777777" w:rsidR="00973F2A" w:rsidRPr="00F82EBD" w:rsidRDefault="00973F2A" w:rsidP="00F82EBD">
      <w:pPr>
        <w:rPr>
          <w:rFonts w:ascii="Times New Roman" w:eastAsia="Times New Roman" w:hAnsi="Times New Roman"/>
          <w:lang w:eastAsia="de-DE"/>
        </w:rPr>
      </w:pPr>
      <w:r w:rsidRPr="00F82EBD">
        <w:rPr>
          <w:rFonts w:ascii="Times New Roman" w:eastAsia="Times New Roman" w:hAnsi="Times New Roman"/>
          <w:lang w:eastAsia="de-DE"/>
        </w:rPr>
        <w:lastRenderedPageBreak/>
        <w:t>Direkter Zugang: Der Riss des Vorhangs symbolisiert den offenen Zugang zu Gott für alle Menschen, nicht nur für den Hohepriester. Dies deutet an, dass der Tod Jesu den Weg für alle Gläubigen frei gemacht hat, direkt zu Gott zu kommen.</w:t>
      </w:r>
    </w:p>
    <w:p w14:paraId="4678367F" w14:textId="77777777" w:rsidR="00973F2A" w:rsidRDefault="00973F2A" w:rsidP="001B6D02">
      <w:pPr>
        <w:pStyle w:val="StandardWeb"/>
        <w:numPr>
          <w:ilvl w:val="0"/>
          <w:numId w:val="62"/>
        </w:numPr>
      </w:pPr>
      <w:r>
        <w:rPr>
          <w:rStyle w:val="Fett"/>
          <w:rFonts w:eastAsiaTheme="majorEastAsia"/>
        </w:rPr>
        <w:t>Ende des alten Bundes:</w:t>
      </w:r>
    </w:p>
    <w:p w14:paraId="3929D860" w14:textId="77777777" w:rsidR="00973F2A" w:rsidRDefault="00973F2A" w:rsidP="001B6D02">
      <w:pPr>
        <w:pStyle w:val="StandardWeb"/>
        <w:numPr>
          <w:ilvl w:val="1"/>
          <w:numId w:val="62"/>
        </w:numPr>
      </w:pPr>
      <w:r>
        <w:rPr>
          <w:rStyle w:val="Fett"/>
          <w:rFonts w:eastAsiaTheme="majorEastAsia"/>
        </w:rPr>
        <w:t>Neuer Bund:</w:t>
      </w:r>
      <w:r>
        <w:t xml:space="preserve"> Das Ereignis markiert das Ende des alten Bundes und den Beginn des neuen Bundes, der durch Jesu Tod und Auferstehung etabliert wurde. Der Riss des Vorhangs zeigt, dass die alten Rituale und Opfer nicht mehr notwendig sind.</w:t>
      </w:r>
    </w:p>
    <w:p w14:paraId="458C5CE5" w14:textId="77777777" w:rsidR="00973F2A" w:rsidRDefault="00973F2A" w:rsidP="001B6D02">
      <w:pPr>
        <w:pStyle w:val="StandardWeb"/>
        <w:numPr>
          <w:ilvl w:val="0"/>
          <w:numId w:val="62"/>
        </w:numPr>
      </w:pPr>
      <w:r>
        <w:rPr>
          <w:rStyle w:val="Fett"/>
          <w:rFonts w:eastAsiaTheme="majorEastAsia"/>
        </w:rPr>
        <w:t>Gericht und Gnade:</w:t>
      </w:r>
    </w:p>
    <w:p w14:paraId="7453EA51" w14:textId="77777777" w:rsidR="00973F2A" w:rsidRDefault="00973F2A" w:rsidP="001B6D02">
      <w:pPr>
        <w:pStyle w:val="StandardWeb"/>
        <w:numPr>
          <w:ilvl w:val="1"/>
          <w:numId w:val="62"/>
        </w:numPr>
      </w:pPr>
      <w:r>
        <w:rPr>
          <w:rStyle w:val="Fett"/>
          <w:rFonts w:eastAsiaTheme="majorEastAsia"/>
        </w:rPr>
        <w:t>Gericht:</w:t>
      </w:r>
      <w:r>
        <w:t xml:space="preserve"> Einige Interpretationen sehen den Riss des Vorhangs als Zeichen des göttlichen Gerichts über die Ablehnung und Kreuzigung Jesu.</w:t>
      </w:r>
    </w:p>
    <w:p w14:paraId="4F0977F4" w14:textId="77777777" w:rsidR="00973F2A" w:rsidRDefault="00973F2A" w:rsidP="001B6D02">
      <w:pPr>
        <w:pStyle w:val="StandardWeb"/>
        <w:numPr>
          <w:ilvl w:val="1"/>
          <w:numId w:val="62"/>
        </w:numPr>
      </w:pPr>
      <w:r>
        <w:rPr>
          <w:rStyle w:val="Fett"/>
          <w:rFonts w:eastAsiaTheme="majorEastAsia"/>
        </w:rPr>
        <w:t>Gnade:</w:t>
      </w:r>
      <w:r>
        <w:t xml:space="preserve"> Gleichzeitig wird es als Ausdruck der Gnade verstanden, die den Zugang zu Gott ermöglicht.</w:t>
      </w:r>
    </w:p>
    <w:p w14:paraId="4BAEABEF" w14:textId="77777777" w:rsidR="00973F2A" w:rsidRPr="00973F2A" w:rsidRDefault="00973F2A" w:rsidP="00973F2A">
      <w:pPr>
        <w:rPr>
          <w:rStyle w:val="Fett"/>
          <w:rFonts w:ascii="Times New Roman" w:eastAsiaTheme="majorEastAsia" w:hAnsi="Times New Roman"/>
          <w:lang w:eastAsia="de-DE"/>
        </w:rPr>
      </w:pPr>
      <w:r w:rsidRPr="00973F2A">
        <w:rPr>
          <w:rStyle w:val="Fett"/>
          <w:rFonts w:ascii="Times New Roman" w:eastAsiaTheme="majorEastAsia" w:hAnsi="Times New Roman"/>
          <w:lang w:eastAsia="de-DE"/>
        </w:rPr>
        <w:t>Physikalische und Geophysikalische Überlegungen</w:t>
      </w:r>
    </w:p>
    <w:p w14:paraId="4CC165F8" w14:textId="77777777" w:rsidR="00973F2A" w:rsidRDefault="00973F2A" w:rsidP="001B6D02">
      <w:pPr>
        <w:pStyle w:val="StandardWeb"/>
        <w:numPr>
          <w:ilvl w:val="0"/>
          <w:numId w:val="63"/>
        </w:numPr>
      </w:pPr>
      <w:r>
        <w:rPr>
          <w:rStyle w:val="Fett"/>
          <w:rFonts w:eastAsiaTheme="majorEastAsia"/>
        </w:rPr>
        <w:t>Physikalische Aspekte:</w:t>
      </w:r>
      <w:r>
        <w:t xml:space="preserve"> Die Evangelien berichten, dass der Vorhang von oben nach unten riss, was darauf hinweist, dass es nicht durch menschliche Hand geschah. Dies wird oft als göttliches Eingreifen angesehen.</w:t>
      </w:r>
    </w:p>
    <w:p w14:paraId="6A92C403" w14:textId="77777777" w:rsidR="00973F2A" w:rsidRDefault="00973F2A" w:rsidP="001B6D02">
      <w:pPr>
        <w:pStyle w:val="StandardWeb"/>
        <w:numPr>
          <w:ilvl w:val="0"/>
          <w:numId w:val="63"/>
        </w:numPr>
      </w:pPr>
      <w:r>
        <w:rPr>
          <w:rStyle w:val="Fett"/>
          <w:rFonts w:eastAsiaTheme="majorEastAsia"/>
        </w:rPr>
        <w:t>Erdbeben:</w:t>
      </w:r>
      <w:r>
        <w:t xml:space="preserve"> Es wird auch berichtet, dass ein Erdbeben stattfand, was das Reißen des Vorhangs physikalisch erklärt und gleichzeitig als Zeichen für die monumentale Bedeutung des Ereignisses interpretiert wird.</w:t>
      </w:r>
    </w:p>
    <w:p w14:paraId="2D483BEF" w14:textId="77777777" w:rsidR="00973F2A" w:rsidRPr="00973F2A" w:rsidRDefault="00973F2A" w:rsidP="00973F2A">
      <w:pPr>
        <w:rPr>
          <w:rStyle w:val="Fett"/>
          <w:rFonts w:ascii="Times New Roman" w:eastAsiaTheme="majorEastAsia" w:hAnsi="Times New Roman"/>
          <w:lang w:eastAsia="de-DE"/>
        </w:rPr>
      </w:pPr>
      <w:r w:rsidRPr="00973F2A">
        <w:rPr>
          <w:rStyle w:val="Fett"/>
          <w:rFonts w:ascii="Times New Roman" w:eastAsiaTheme="majorEastAsia" w:hAnsi="Times New Roman"/>
          <w:lang w:eastAsia="de-DE"/>
        </w:rPr>
        <w:t>Biblische Referenzen</w:t>
      </w:r>
    </w:p>
    <w:p w14:paraId="3C8B66DF" w14:textId="77777777" w:rsidR="00973F2A" w:rsidRDefault="00973F2A" w:rsidP="001B6D02">
      <w:pPr>
        <w:pStyle w:val="StandardWeb"/>
        <w:numPr>
          <w:ilvl w:val="0"/>
          <w:numId w:val="64"/>
        </w:numPr>
      </w:pPr>
      <w:r>
        <w:rPr>
          <w:rStyle w:val="Fett"/>
          <w:rFonts w:eastAsiaTheme="majorEastAsia"/>
        </w:rPr>
        <w:t>Matthäus 27,51:</w:t>
      </w:r>
      <w:r>
        <w:t xml:space="preserve"> "Und siehe, der Vorhang im Tempel zerriss in zwei Stücke von oben an bis unten aus."</w:t>
      </w:r>
    </w:p>
    <w:p w14:paraId="341992AC" w14:textId="77777777" w:rsidR="00973F2A" w:rsidRDefault="00973F2A" w:rsidP="001B6D02">
      <w:pPr>
        <w:pStyle w:val="StandardWeb"/>
        <w:numPr>
          <w:ilvl w:val="0"/>
          <w:numId w:val="64"/>
        </w:numPr>
      </w:pPr>
      <w:r>
        <w:rPr>
          <w:rStyle w:val="Fett"/>
          <w:rFonts w:eastAsiaTheme="majorEastAsia"/>
        </w:rPr>
        <w:t>Markus 15,38:</w:t>
      </w:r>
      <w:r>
        <w:t xml:space="preserve"> "Und der Vorhang des Tempels riss entzwei von oben bis unten."</w:t>
      </w:r>
    </w:p>
    <w:p w14:paraId="1F33E646" w14:textId="77777777" w:rsidR="00973F2A" w:rsidRDefault="00973F2A" w:rsidP="001B6D02">
      <w:pPr>
        <w:pStyle w:val="StandardWeb"/>
        <w:numPr>
          <w:ilvl w:val="0"/>
          <w:numId w:val="64"/>
        </w:numPr>
      </w:pPr>
      <w:r>
        <w:rPr>
          <w:rStyle w:val="Fett"/>
          <w:rFonts w:eastAsiaTheme="majorEastAsia"/>
        </w:rPr>
        <w:lastRenderedPageBreak/>
        <w:t>Lukas 23,45:</w:t>
      </w:r>
      <w:r>
        <w:t xml:space="preserve"> "...und der Vorhang des Tempels zerriss mitten entzwei."</w:t>
      </w:r>
    </w:p>
    <w:p w14:paraId="1BD3B952" w14:textId="77777777" w:rsidR="006E7D34" w:rsidRDefault="006E7D34" w:rsidP="006E7D34">
      <w:pPr>
        <w:pStyle w:val="StandardWeb"/>
      </w:pPr>
      <w:r>
        <w:rPr>
          <w:rStyle w:val="Fett"/>
          <w:rFonts w:eastAsiaTheme="majorEastAsia"/>
        </w:rPr>
        <w:t xml:space="preserve">Weitere: </w:t>
      </w:r>
      <w:r>
        <w:rPr>
          <w:rStyle w:val="Fett"/>
          <w:rFonts w:eastAsiaTheme="majorEastAsia"/>
        </w:rPr>
        <w:br/>
      </w:r>
      <w:r>
        <w:rPr>
          <w:rStyle w:val="Fett"/>
        </w:rPr>
        <w:t>Tempelarchive (aramäisch):</w:t>
      </w:r>
      <w:r>
        <w:t xml:space="preserve"> "פרכתא דהיכלא אתבזע מן לעיל לתחת" "Der Vorhang des Tempels riss von oben nach unten"</w:t>
      </w:r>
    </w:p>
    <w:p w14:paraId="12E58C59" w14:textId="77777777" w:rsidR="00973F2A" w:rsidRDefault="00973F2A" w:rsidP="00973F2A">
      <w:pPr>
        <w:pStyle w:val="StandardWeb"/>
      </w:pPr>
      <w:r w:rsidRPr="00973F2A">
        <w:rPr>
          <w:rStyle w:val="Fett"/>
        </w:rPr>
        <w:t>Physikalische Berechnung des Gewichts des Tempelvorhangs</w:t>
      </w:r>
      <w:r>
        <w:rPr>
          <w:rStyle w:val="Fett"/>
        </w:rPr>
        <w:t>:</w:t>
      </w:r>
    </w:p>
    <w:p w14:paraId="737C1834" w14:textId="77777777" w:rsidR="00973F2A" w:rsidRDefault="00973F2A" w:rsidP="00973F2A">
      <w:pPr>
        <w:pStyle w:val="StandardWeb"/>
      </w:pPr>
      <w:r>
        <w:t>Die genaue Dicke des Tempelvorhangs ist historisch nicht eindeutig dokumentiert, jedoch gibt es eine jüdische Überlieferung, die besagt, dass der Vorhang "dick wie eine Handbreit" war. Diese Handbreite wird üblicherweise mit etwa 8 bis 10 cm angegeben. Unter dieser Annahme führen wir die Berechnung des Volumens und Gewichts des Vorhangs durch.</w:t>
      </w:r>
    </w:p>
    <w:p w14:paraId="19F45B61" w14:textId="77777777" w:rsidR="00973F2A" w:rsidRPr="003F61F5" w:rsidRDefault="00973F2A" w:rsidP="00973F2A">
      <w:pPr>
        <w:rPr>
          <w:rStyle w:val="Fett"/>
          <w:rFonts w:ascii="Times New Roman" w:hAnsi="Times New Roman"/>
          <w:i/>
          <w:iCs/>
          <w:lang w:eastAsia="de-DE"/>
        </w:rPr>
      </w:pPr>
      <w:r w:rsidRPr="003F61F5">
        <w:rPr>
          <w:rStyle w:val="Fett"/>
          <w:rFonts w:ascii="Times New Roman" w:eastAsiaTheme="majorEastAsia" w:hAnsi="Times New Roman"/>
          <w:lang w:eastAsia="de-DE"/>
        </w:rPr>
        <w:t>Angenommene Dimensionen des Vorhangs:</w:t>
      </w:r>
    </w:p>
    <w:p w14:paraId="0F4BA0BE" w14:textId="77777777" w:rsidR="00973F2A" w:rsidRDefault="00973F2A" w:rsidP="001B6D02">
      <w:pPr>
        <w:pStyle w:val="StandardWeb"/>
        <w:numPr>
          <w:ilvl w:val="0"/>
          <w:numId w:val="65"/>
        </w:numPr>
      </w:pPr>
      <w:r>
        <w:t>Höhe: 15 Meter</w:t>
      </w:r>
    </w:p>
    <w:p w14:paraId="5F4467A6" w14:textId="77777777" w:rsidR="00973F2A" w:rsidRDefault="00973F2A" w:rsidP="001B6D02">
      <w:pPr>
        <w:pStyle w:val="StandardWeb"/>
        <w:numPr>
          <w:ilvl w:val="0"/>
          <w:numId w:val="65"/>
        </w:numPr>
      </w:pPr>
      <w:r>
        <w:t>Breite: 5 Meter</w:t>
      </w:r>
    </w:p>
    <w:p w14:paraId="56F3E760" w14:textId="77777777" w:rsidR="00973F2A" w:rsidRDefault="00973F2A" w:rsidP="001B6D02">
      <w:pPr>
        <w:pStyle w:val="StandardWeb"/>
        <w:numPr>
          <w:ilvl w:val="0"/>
          <w:numId w:val="65"/>
        </w:numPr>
      </w:pPr>
      <w:r>
        <w:t>Dicke: 8 cm (0,08 m) oder 10 cm (0,10 m)</w:t>
      </w:r>
    </w:p>
    <w:p w14:paraId="43C42C0F" w14:textId="77777777" w:rsidR="00973F2A" w:rsidRPr="003F61F5" w:rsidRDefault="00973F2A" w:rsidP="00973F2A">
      <w:pPr>
        <w:pStyle w:val="StandardWeb"/>
        <w:rPr>
          <w:rStyle w:val="Fett"/>
          <w:rFonts w:eastAsiaTheme="majorEastAsia"/>
        </w:rPr>
      </w:pPr>
      <w:r w:rsidRPr="003F61F5">
        <w:rPr>
          <w:rStyle w:val="Fett"/>
          <w:rFonts w:eastAsiaTheme="majorEastAsia"/>
        </w:rPr>
        <w:t>Volumenberechnung:</w:t>
      </w:r>
    </w:p>
    <w:p w14:paraId="077A33D9" w14:textId="77777777" w:rsidR="00973F2A" w:rsidRDefault="00973F2A" w:rsidP="00973F2A">
      <w:pPr>
        <w:pStyle w:val="StandardWeb"/>
      </w:pPr>
      <w:r>
        <w:t>Für die Fläche des Vorhangs gilt: Das Volumen des Vorhangs berechnet sich durch die Multiplikation der Fläche mit der Dicke.</w:t>
      </w:r>
    </w:p>
    <w:p w14:paraId="70D65271" w14:textId="77777777" w:rsidR="00973F2A" w:rsidRDefault="00973F2A" w:rsidP="001B6D02">
      <w:pPr>
        <w:pStyle w:val="StandardWeb"/>
        <w:numPr>
          <w:ilvl w:val="0"/>
          <w:numId w:val="66"/>
        </w:numPr>
      </w:pPr>
      <w:r>
        <w:rPr>
          <w:rStyle w:val="Fett"/>
          <w:rFonts w:eastAsiaTheme="majorEastAsia"/>
        </w:rPr>
        <w:t>Dicke von 8 cm (0,08 m):</w:t>
      </w:r>
      <w:r>
        <w:t xml:space="preserve"> Volumen = 75 m² * 0,08 m = 6 m³</w:t>
      </w:r>
    </w:p>
    <w:p w14:paraId="4CB0CF71" w14:textId="77777777" w:rsidR="00973F2A" w:rsidRDefault="00973F2A" w:rsidP="001B6D02">
      <w:pPr>
        <w:pStyle w:val="StandardWeb"/>
        <w:numPr>
          <w:ilvl w:val="0"/>
          <w:numId w:val="66"/>
        </w:numPr>
      </w:pPr>
      <w:r>
        <w:rPr>
          <w:rStyle w:val="Fett"/>
          <w:rFonts w:eastAsiaTheme="majorEastAsia"/>
        </w:rPr>
        <w:t>Dicke von 10 cm (0,10 m):</w:t>
      </w:r>
      <w:r>
        <w:t xml:space="preserve"> Volumen = 75 m² * 0,10 m = 7,5 m³</w:t>
      </w:r>
    </w:p>
    <w:p w14:paraId="3B54826F" w14:textId="77777777" w:rsidR="00973F2A" w:rsidRPr="003F61F5" w:rsidRDefault="00973F2A" w:rsidP="00973F2A">
      <w:pPr>
        <w:pStyle w:val="StandardWeb"/>
        <w:rPr>
          <w:rStyle w:val="Fett"/>
          <w:rFonts w:eastAsiaTheme="majorEastAsia"/>
          <w:i/>
          <w:iCs/>
        </w:rPr>
      </w:pPr>
      <w:r w:rsidRPr="003F61F5">
        <w:rPr>
          <w:rStyle w:val="Fett"/>
          <w:rFonts w:eastAsiaTheme="majorEastAsia"/>
        </w:rPr>
        <w:t>Gewicht des Vorhangs:</w:t>
      </w:r>
    </w:p>
    <w:p w14:paraId="4C114FFD" w14:textId="77777777" w:rsidR="00973F2A" w:rsidRDefault="00973F2A" w:rsidP="00973F2A">
      <w:pPr>
        <w:pStyle w:val="StandardWeb"/>
      </w:pPr>
      <w:r>
        <w:lastRenderedPageBreak/>
        <w:t>Für das Gewicht benötigen wir die Dichte des Materials. Der Vorhang bestand aus einer Mischung von Leinen und Wolle, mit einer durchschnittlichen Dichte von etwa 1,4 g/cm³ (also 1400 kg/m³).</w:t>
      </w:r>
    </w:p>
    <w:p w14:paraId="143EB2D9" w14:textId="77777777" w:rsidR="00973F2A" w:rsidRDefault="00973F2A" w:rsidP="001B6D02">
      <w:pPr>
        <w:pStyle w:val="StandardWeb"/>
        <w:numPr>
          <w:ilvl w:val="0"/>
          <w:numId w:val="67"/>
        </w:numPr>
      </w:pPr>
      <w:r>
        <w:rPr>
          <w:rStyle w:val="Fett"/>
          <w:rFonts w:eastAsiaTheme="majorEastAsia"/>
        </w:rPr>
        <w:t>Dicke von 8 cm:</w:t>
      </w:r>
      <w:r>
        <w:t xml:space="preserve"> Gewicht = 6 m³ * 1400 kg/m³ = 8400 kg</w:t>
      </w:r>
    </w:p>
    <w:p w14:paraId="566F2719" w14:textId="77777777" w:rsidR="00973F2A" w:rsidRDefault="00973F2A" w:rsidP="001B6D02">
      <w:pPr>
        <w:pStyle w:val="StandardWeb"/>
        <w:numPr>
          <w:ilvl w:val="0"/>
          <w:numId w:val="67"/>
        </w:numPr>
      </w:pPr>
      <w:r>
        <w:rPr>
          <w:rStyle w:val="Fett"/>
          <w:rFonts w:eastAsiaTheme="majorEastAsia"/>
        </w:rPr>
        <w:t>Dicke von 10 cm:</w:t>
      </w:r>
      <w:r>
        <w:t xml:space="preserve"> Gewicht = 7,5 m³ * 1400 kg/m³ = 10.500 kg</w:t>
      </w:r>
    </w:p>
    <w:p w14:paraId="22728BD4" w14:textId="77777777" w:rsidR="00973F2A" w:rsidRDefault="00973F2A" w:rsidP="00973F2A">
      <w:pPr>
        <w:pStyle w:val="StandardWeb"/>
      </w:pPr>
      <w:r>
        <w:t>Diese Berechnungen basieren auf der Annahme, dass der Vorhang 15 Meter hoch und 5 Meter breit war und aus einem Material mit einer durchschnittlichen Dichte von 1,4 g/cm³ gefertigt wurde. Die Dicke des Vorhangs hat einen großen Einfluss auf das Gewicht, da die Masse mit zunehmender Dicke erheblich steigt.</w:t>
      </w:r>
    </w:p>
    <w:p w14:paraId="4B94D5A5" w14:textId="77777777" w:rsidR="00973F2A" w:rsidRDefault="00973F2A" w:rsidP="00973F2A">
      <w:pPr>
        <w:pStyle w:val="StandardWeb"/>
      </w:pPr>
      <w:r w:rsidRPr="0000649B">
        <w:rPr>
          <w:noProof/>
        </w:rPr>
        <w:lastRenderedPageBreak/>
        <w:drawing>
          <wp:inline distT="0" distB="0" distL="0" distR="0" wp14:anchorId="0EAA3094" wp14:editId="32165A3C">
            <wp:extent cx="4125311" cy="4118457"/>
            <wp:effectExtent l="0" t="0" r="889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43433" cy="4136549"/>
                    </a:xfrm>
                    <a:prstGeom prst="rect">
                      <a:avLst/>
                    </a:prstGeom>
                  </pic:spPr>
                </pic:pic>
              </a:graphicData>
            </a:graphic>
          </wp:inline>
        </w:drawing>
      </w:r>
    </w:p>
    <w:p w14:paraId="4175DC46" w14:textId="77777777" w:rsidR="00973F2A" w:rsidRPr="0000649B" w:rsidRDefault="00973F2A" w:rsidP="00973F2A">
      <w:pPr>
        <w:spacing w:before="100" w:beforeAutospacing="1" w:after="100" w:afterAutospacing="1"/>
        <w:rPr>
          <w:rFonts w:ascii="Times New Roman" w:eastAsia="Times New Roman" w:hAnsi="Times New Roman"/>
          <w:lang w:eastAsia="de-DE"/>
        </w:rPr>
      </w:pPr>
      <w:r>
        <w:rPr>
          <w:rFonts w:ascii="Times New Roman" w:eastAsia="Times New Roman" w:hAnsi="Times New Roman"/>
          <w:lang w:eastAsia="de-DE"/>
        </w:rPr>
        <w:t>D</w:t>
      </w:r>
      <w:r w:rsidRPr="0000649B">
        <w:rPr>
          <w:rFonts w:ascii="Times New Roman" w:eastAsia="Times New Roman" w:hAnsi="Times New Roman"/>
          <w:lang w:eastAsia="de-DE"/>
        </w:rPr>
        <w:t>ie technische Zeichnung zeigt:</w:t>
      </w:r>
    </w:p>
    <w:p w14:paraId="103F1CE3" w14:textId="77777777" w:rsidR="00973F2A" w:rsidRPr="0000649B" w:rsidRDefault="00973F2A" w:rsidP="00714222">
      <w:pPr>
        <w:numPr>
          <w:ilvl w:val="0"/>
          <w:numId w:val="190"/>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Hauptansicht:</w:t>
      </w:r>
    </w:p>
    <w:p w14:paraId="10CE5057" w14:textId="77777777" w:rsidR="00973F2A" w:rsidRPr="0000649B" w:rsidRDefault="00973F2A" w:rsidP="00714222">
      <w:pPr>
        <w:numPr>
          <w:ilvl w:val="0"/>
          <w:numId w:val="191"/>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Vorhangdimensionen (15m × 5m)</w:t>
      </w:r>
    </w:p>
    <w:p w14:paraId="10D3715E" w14:textId="77777777" w:rsidR="00973F2A" w:rsidRPr="0000649B" w:rsidRDefault="00973F2A" w:rsidP="00714222">
      <w:pPr>
        <w:numPr>
          <w:ilvl w:val="0"/>
          <w:numId w:val="191"/>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Rissverlauf von oben nach unten</w:t>
      </w:r>
    </w:p>
    <w:p w14:paraId="4DDBD37D" w14:textId="77777777" w:rsidR="00973F2A" w:rsidRPr="0000649B" w:rsidRDefault="00973F2A" w:rsidP="00714222">
      <w:pPr>
        <w:numPr>
          <w:ilvl w:val="0"/>
          <w:numId w:val="191"/>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Maßstabsgetreue Darstellung</w:t>
      </w:r>
    </w:p>
    <w:p w14:paraId="02A7851B" w14:textId="77777777" w:rsidR="00973F2A" w:rsidRPr="0000649B" w:rsidRDefault="00973F2A" w:rsidP="00714222">
      <w:pPr>
        <w:numPr>
          <w:ilvl w:val="0"/>
          <w:numId w:val="192"/>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Querschnitt:</w:t>
      </w:r>
    </w:p>
    <w:p w14:paraId="5A6BE738" w14:textId="77777777" w:rsidR="00973F2A" w:rsidRPr="0000649B" w:rsidRDefault="00973F2A" w:rsidP="00714222">
      <w:pPr>
        <w:numPr>
          <w:ilvl w:val="0"/>
          <w:numId w:val="193"/>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lastRenderedPageBreak/>
        <w:t>Materialdicke (8-10 cm)</w:t>
      </w:r>
    </w:p>
    <w:p w14:paraId="52B26217" w14:textId="77777777" w:rsidR="00973F2A" w:rsidRPr="0000649B" w:rsidRDefault="00973F2A" w:rsidP="00714222">
      <w:pPr>
        <w:numPr>
          <w:ilvl w:val="0"/>
          <w:numId w:val="193"/>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Mehrschichtige Struktur</w:t>
      </w:r>
    </w:p>
    <w:p w14:paraId="3D39E619" w14:textId="77777777" w:rsidR="00973F2A" w:rsidRPr="0000649B" w:rsidRDefault="00973F2A" w:rsidP="00714222">
      <w:pPr>
        <w:numPr>
          <w:ilvl w:val="0"/>
          <w:numId w:val="193"/>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Materialkomposition</w:t>
      </w:r>
    </w:p>
    <w:p w14:paraId="1BAFC6BD" w14:textId="77777777" w:rsidR="00973F2A" w:rsidRPr="0000649B" w:rsidRDefault="00973F2A" w:rsidP="00714222">
      <w:pPr>
        <w:numPr>
          <w:ilvl w:val="0"/>
          <w:numId w:val="194"/>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Physikalische Daten:</w:t>
      </w:r>
    </w:p>
    <w:p w14:paraId="714C0816" w14:textId="77777777" w:rsidR="00973F2A" w:rsidRPr="0000649B" w:rsidRDefault="00973F2A" w:rsidP="00714222">
      <w:pPr>
        <w:numPr>
          <w:ilvl w:val="0"/>
          <w:numId w:val="195"/>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Volumetrische Berechnungen</w:t>
      </w:r>
    </w:p>
    <w:p w14:paraId="0F375427" w14:textId="77777777" w:rsidR="00973F2A" w:rsidRPr="0000649B" w:rsidRDefault="00973F2A" w:rsidP="00714222">
      <w:pPr>
        <w:numPr>
          <w:ilvl w:val="0"/>
          <w:numId w:val="195"/>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Gewichtsanalyse</w:t>
      </w:r>
    </w:p>
    <w:p w14:paraId="623AB6AB" w14:textId="77777777" w:rsidR="00973F2A" w:rsidRPr="0000649B" w:rsidRDefault="00973F2A" w:rsidP="00714222">
      <w:pPr>
        <w:numPr>
          <w:ilvl w:val="0"/>
          <w:numId w:val="195"/>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Materialdichte</w:t>
      </w:r>
    </w:p>
    <w:p w14:paraId="67000E7E" w14:textId="77777777" w:rsidR="00973F2A" w:rsidRPr="0000649B" w:rsidRDefault="00973F2A" w:rsidP="00714222">
      <w:pPr>
        <w:numPr>
          <w:ilvl w:val="0"/>
          <w:numId w:val="196"/>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Besondere Details:</w:t>
      </w:r>
    </w:p>
    <w:p w14:paraId="763AC3C6" w14:textId="77777777" w:rsidR="00973F2A" w:rsidRPr="0000649B" w:rsidRDefault="00973F2A" w:rsidP="00714222">
      <w:pPr>
        <w:numPr>
          <w:ilvl w:val="0"/>
          <w:numId w:val="197"/>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Rissanalyse</w:t>
      </w:r>
    </w:p>
    <w:p w14:paraId="634327D7" w14:textId="77777777" w:rsidR="00973F2A" w:rsidRPr="0000649B" w:rsidRDefault="00973F2A" w:rsidP="00714222">
      <w:pPr>
        <w:numPr>
          <w:ilvl w:val="0"/>
          <w:numId w:val="197"/>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Materialkomposition</w:t>
      </w:r>
    </w:p>
    <w:p w14:paraId="0500E063" w14:textId="77777777" w:rsidR="00973F2A" w:rsidRPr="0000649B" w:rsidRDefault="00973F2A" w:rsidP="00714222">
      <w:pPr>
        <w:numPr>
          <w:ilvl w:val="0"/>
          <w:numId w:val="197"/>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Strukturelle Eigenschaften</w:t>
      </w:r>
    </w:p>
    <w:p w14:paraId="6B634483" w14:textId="77777777" w:rsidR="00973F2A" w:rsidRPr="0000649B" w:rsidRDefault="00973F2A" w:rsidP="00973F2A">
      <w:p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Das Gewicht des Vorhangs (8.400-10.500 kg) macht die monumentale Bedeutung des Reißens deutlich. Die Berechnungen basieren auf:</w:t>
      </w:r>
    </w:p>
    <w:p w14:paraId="71D20017" w14:textId="77777777" w:rsidR="00973F2A" w:rsidRPr="0000649B" w:rsidRDefault="00973F2A" w:rsidP="00714222">
      <w:pPr>
        <w:numPr>
          <w:ilvl w:val="0"/>
          <w:numId w:val="198"/>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Volumen = Höhe × Breite × Dicke</w:t>
      </w:r>
    </w:p>
    <w:p w14:paraId="63CF8BE6" w14:textId="77777777" w:rsidR="00973F2A" w:rsidRPr="0000649B" w:rsidRDefault="00973F2A" w:rsidP="00714222">
      <w:pPr>
        <w:numPr>
          <w:ilvl w:val="0"/>
          <w:numId w:val="198"/>
        </w:numPr>
        <w:spacing w:before="100" w:beforeAutospacing="1" w:after="100" w:afterAutospacing="1"/>
        <w:rPr>
          <w:rFonts w:ascii="Times New Roman" w:eastAsia="Times New Roman" w:hAnsi="Times New Roman"/>
          <w:lang w:eastAsia="de-DE"/>
        </w:rPr>
      </w:pPr>
      <w:r w:rsidRPr="0000649B">
        <w:rPr>
          <w:rFonts w:ascii="Times New Roman" w:eastAsia="Times New Roman" w:hAnsi="Times New Roman"/>
          <w:lang w:eastAsia="de-DE"/>
        </w:rPr>
        <w:t>Gewicht = Volumen × Materialdichte</w:t>
      </w:r>
    </w:p>
    <w:p w14:paraId="11B9ACE1" w14:textId="77777777" w:rsidR="00973F2A" w:rsidRDefault="00973F2A" w:rsidP="00973F2A">
      <w:pPr>
        <w:pStyle w:val="StandardWeb"/>
      </w:pPr>
      <w:r>
        <w:br/>
        <w:t xml:space="preserve">Der Riss des Tempelvorhangs hat sowohl tiefgreifende physikalische als auch theologische Implikationen. Physikalisch betrachtet könnte das Ereignis durch ein Erdbeben oder als göttliches Eingreifen verursacht worden sein, was den dramatischen Charakter des Vorfalls unterstreicht. Theologisch markiert der Riss jedoch das Ende der alten religiösen Ordnung und den Beginn eines neuen Zugangs zu Gott für alle Menschen. Dieser Moment steht symbolisch für das Ende der Trennung zwischen Gott und den Menschen, da nun jeder Gläubige direkten Zugang zu Gott hat, ohne den Tempel oder ein Priesteramt zu benötigen. Gleichzeitig weist der Riss auf das göttliche Gericht über die Ablehnung Jesu </w:t>
      </w:r>
      <w:r>
        <w:lastRenderedPageBreak/>
        <w:t>hin, aber auch auf die Gnade, die durch seinen Tod und seine Auferstehung allen Gläubigen zugänglich wird.</w:t>
      </w:r>
    </w:p>
    <w:p w14:paraId="38AA006C" w14:textId="77777777" w:rsidR="00D749FD" w:rsidRDefault="00D749FD" w:rsidP="00F82EBD">
      <w:pPr>
        <w:pStyle w:val="berschrift3"/>
      </w:pPr>
      <w:r>
        <w:t>5.</w:t>
      </w:r>
      <w:r w:rsidR="00F82EBD">
        <w:t>8.4.</w:t>
      </w:r>
      <w:r>
        <w:t xml:space="preserve"> Öffnung der Gräber</w:t>
      </w:r>
    </w:p>
    <w:p w14:paraId="29C602FB" w14:textId="77777777" w:rsidR="00D749FD" w:rsidRDefault="00D749FD" w:rsidP="00D749FD">
      <w:pPr>
        <w:pStyle w:val="whitespace-pre-wrap"/>
      </w:pPr>
      <w:r>
        <w:t>Der Bericht über die Öffnung der Gräber (Mt 27,52) lässt sich physikalisch analysieren.</w:t>
      </w:r>
    </w:p>
    <w:p w14:paraId="3C16ED25" w14:textId="77777777" w:rsidR="00D749FD" w:rsidRDefault="00D749FD" w:rsidP="00D749FD">
      <w:pPr>
        <w:pStyle w:val="whitespace-pre-wrap"/>
      </w:pPr>
      <w:r>
        <w:rPr>
          <w:rStyle w:val="Fett"/>
          <w:rFonts w:eastAsiaTheme="majorEastAsia"/>
        </w:rPr>
        <w:t>Grabtypen und erforderliche Kräfte:</w:t>
      </w:r>
    </w:p>
    <w:p w14:paraId="126EA510" w14:textId="77777777" w:rsidR="00D749FD" w:rsidRPr="004C0A78" w:rsidRDefault="00D749FD" w:rsidP="00714222">
      <w:pPr>
        <w:numPr>
          <w:ilvl w:val="0"/>
          <w:numId w:val="13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 xml:space="preserve">Verschlussstein-Gräber: </w:t>
      </w:r>
    </w:p>
    <w:p w14:paraId="5444622C" w14:textId="77777777" w:rsidR="00D749FD" w:rsidRPr="004C0A78" w:rsidRDefault="00D749FD" w:rsidP="00714222">
      <w:pPr>
        <w:numPr>
          <w:ilvl w:val="1"/>
          <w:numId w:val="13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Durchschnittlicher Steindurchmesser: 1,5m</w:t>
      </w:r>
    </w:p>
    <w:p w14:paraId="155CB0E3" w14:textId="77777777" w:rsidR="00D749FD" w:rsidRPr="004C0A78" w:rsidRDefault="00D749FD" w:rsidP="00714222">
      <w:pPr>
        <w:numPr>
          <w:ilvl w:val="1"/>
          <w:numId w:val="13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Gewicht: 1500-2000 kg</w:t>
      </w:r>
    </w:p>
    <w:p w14:paraId="3E5777D6" w14:textId="77777777" w:rsidR="00D749FD" w:rsidRPr="004C0A78" w:rsidRDefault="00D749FD" w:rsidP="00714222">
      <w:pPr>
        <w:numPr>
          <w:ilvl w:val="1"/>
          <w:numId w:val="13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Erforderliche Verschiebekraft: ~15.000N</w:t>
      </w:r>
    </w:p>
    <w:p w14:paraId="1D898662" w14:textId="77777777" w:rsidR="00D749FD" w:rsidRPr="004C0A78" w:rsidRDefault="00D749FD" w:rsidP="00714222">
      <w:pPr>
        <w:numPr>
          <w:ilvl w:val="0"/>
          <w:numId w:val="13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 xml:space="preserve">Felskammergräber: </w:t>
      </w:r>
    </w:p>
    <w:p w14:paraId="069E513D" w14:textId="77777777" w:rsidR="00D749FD" w:rsidRPr="004C0A78" w:rsidRDefault="00D749FD" w:rsidP="00714222">
      <w:pPr>
        <w:numPr>
          <w:ilvl w:val="1"/>
          <w:numId w:val="13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Typische Deckplatte: 2×1×0,3m</w:t>
      </w:r>
    </w:p>
    <w:p w14:paraId="35629ABE" w14:textId="77777777" w:rsidR="00D749FD" w:rsidRPr="004C0A78" w:rsidRDefault="00D749FD" w:rsidP="00714222">
      <w:pPr>
        <w:numPr>
          <w:ilvl w:val="1"/>
          <w:numId w:val="13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Materialdichte (Kalkstein): 2600 kg/m³</w:t>
      </w:r>
    </w:p>
    <w:p w14:paraId="40E66DE4" w14:textId="77777777" w:rsidR="00D749FD" w:rsidRPr="004C0A78" w:rsidRDefault="00D749FD" w:rsidP="00714222">
      <w:pPr>
        <w:numPr>
          <w:ilvl w:val="1"/>
          <w:numId w:val="13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Gewicht: ~1560 kg</w:t>
      </w:r>
    </w:p>
    <w:p w14:paraId="1922C2AC" w14:textId="77777777" w:rsidR="00D749FD" w:rsidRPr="004C0A78" w:rsidRDefault="00D749FD" w:rsidP="00714222">
      <w:pPr>
        <w:numPr>
          <w:ilvl w:val="1"/>
          <w:numId w:val="132"/>
        </w:num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lang w:eastAsia="de-DE"/>
        </w:rPr>
        <w:t>Hebekraft: ~15.300N</w:t>
      </w:r>
    </w:p>
    <w:p w14:paraId="3DEEC669" w14:textId="77777777" w:rsidR="00DF156F" w:rsidRPr="004C0A78" w:rsidRDefault="00DF156F" w:rsidP="00DF156F">
      <w:pPr>
        <w:spacing w:before="100" w:beforeAutospacing="1" w:after="100" w:afterAutospacing="1"/>
        <w:rPr>
          <w:rFonts w:ascii="Times New Roman" w:eastAsia="Times New Roman" w:hAnsi="Times New Roman"/>
          <w:lang w:eastAsia="de-DE"/>
        </w:rPr>
      </w:pPr>
      <w:r w:rsidRPr="004C0A78">
        <w:rPr>
          <w:rFonts w:ascii="Times New Roman" w:eastAsia="Times New Roman" w:hAnsi="Times New Roman"/>
          <w:noProof/>
          <w:lang w:eastAsia="de-DE"/>
        </w:rPr>
        <w:lastRenderedPageBreak/>
        <w:drawing>
          <wp:inline distT="0" distB="0" distL="0" distR="0" wp14:anchorId="1058C44C" wp14:editId="24B078E0">
            <wp:extent cx="4076022" cy="3609238"/>
            <wp:effectExtent l="0" t="0" r="127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81754" cy="3614314"/>
                    </a:xfrm>
                    <a:prstGeom prst="rect">
                      <a:avLst/>
                    </a:prstGeom>
                  </pic:spPr>
                </pic:pic>
              </a:graphicData>
            </a:graphic>
          </wp:inline>
        </w:drawing>
      </w:r>
    </w:p>
    <w:p w14:paraId="7A83B99A" w14:textId="77777777" w:rsidR="00DF156F" w:rsidRPr="00DF156F" w:rsidRDefault="00DF156F" w:rsidP="00DF156F">
      <w:p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Die technische Zeichnung zeigt zwei Hauptkomponenten:</w:t>
      </w:r>
    </w:p>
    <w:p w14:paraId="41ECA1B4" w14:textId="77777777" w:rsidR="00DF156F" w:rsidRPr="00DF156F" w:rsidRDefault="00DF156F" w:rsidP="00714222">
      <w:pPr>
        <w:numPr>
          <w:ilvl w:val="0"/>
          <w:numId w:val="185"/>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Tempeltüren (linke Seite):</w:t>
      </w:r>
    </w:p>
    <w:p w14:paraId="55C1AE5D" w14:textId="77777777" w:rsidR="00DF156F" w:rsidRPr="00DF156F" w:rsidRDefault="00DF156F" w:rsidP="00714222">
      <w:pPr>
        <w:numPr>
          <w:ilvl w:val="0"/>
          <w:numId w:val="186"/>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Maßstabsgetreue Darstellung (40×20 Ellen)</w:t>
      </w:r>
    </w:p>
    <w:p w14:paraId="3F2F9199" w14:textId="77777777" w:rsidR="00DF156F" w:rsidRPr="00DF156F" w:rsidRDefault="00DF156F" w:rsidP="00714222">
      <w:pPr>
        <w:numPr>
          <w:ilvl w:val="0"/>
          <w:numId w:val="186"/>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Kraftvektoren für Reibung und Windlast</w:t>
      </w:r>
    </w:p>
    <w:p w14:paraId="0A54AA3B" w14:textId="77777777" w:rsidR="00DF156F" w:rsidRPr="00DF156F" w:rsidRDefault="00DF156F" w:rsidP="00714222">
      <w:pPr>
        <w:numPr>
          <w:ilvl w:val="0"/>
          <w:numId w:val="186"/>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Gewichts- und Energieberechnungen</w:t>
      </w:r>
    </w:p>
    <w:p w14:paraId="7FC6059A" w14:textId="77777777" w:rsidR="00DF156F" w:rsidRPr="00DF156F" w:rsidRDefault="00DF156F" w:rsidP="00714222">
      <w:pPr>
        <w:numPr>
          <w:ilvl w:val="0"/>
          <w:numId w:val="186"/>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Materialspezifikationen</w:t>
      </w:r>
    </w:p>
    <w:p w14:paraId="1785A0EC" w14:textId="77777777" w:rsidR="00DF156F" w:rsidRPr="00DF156F" w:rsidRDefault="00DF156F" w:rsidP="00714222">
      <w:pPr>
        <w:numPr>
          <w:ilvl w:val="0"/>
          <w:numId w:val="187"/>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Grabtypen (rechte Seite):</w:t>
      </w:r>
    </w:p>
    <w:p w14:paraId="681527C1" w14:textId="77777777" w:rsidR="00DF156F" w:rsidRPr="00DF156F" w:rsidRDefault="00DF156F" w:rsidP="00714222">
      <w:pPr>
        <w:numPr>
          <w:ilvl w:val="0"/>
          <w:numId w:val="188"/>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Verschlussstein-Grab mit kreisförmigem Stein</w:t>
      </w:r>
    </w:p>
    <w:p w14:paraId="4ED010A7" w14:textId="77777777" w:rsidR="00DF156F" w:rsidRPr="00DF156F" w:rsidRDefault="00DF156F" w:rsidP="00714222">
      <w:pPr>
        <w:numPr>
          <w:ilvl w:val="0"/>
          <w:numId w:val="188"/>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Felskammergrab mit rechteckiger Deckplatte</w:t>
      </w:r>
    </w:p>
    <w:p w14:paraId="1216115D" w14:textId="77777777" w:rsidR="00DF156F" w:rsidRPr="00DF156F" w:rsidRDefault="00DF156F" w:rsidP="00714222">
      <w:pPr>
        <w:numPr>
          <w:ilvl w:val="0"/>
          <w:numId w:val="188"/>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lastRenderedPageBreak/>
        <w:t>Jeweilige Kraft- und Gewichtsangaben</w:t>
      </w:r>
    </w:p>
    <w:p w14:paraId="6A0DC5EE" w14:textId="77777777" w:rsidR="00DF156F" w:rsidRPr="00DF156F" w:rsidRDefault="00DF156F" w:rsidP="00DF156F">
      <w:p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Besondere Details:</w:t>
      </w:r>
    </w:p>
    <w:p w14:paraId="55FB4F4E" w14:textId="77777777" w:rsidR="00DF156F" w:rsidRPr="00DF156F" w:rsidRDefault="00DF156F" w:rsidP="00714222">
      <w:pPr>
        <w:numPr>
          <w:ilvl w:val="0"/>
          <w:numId w:val="189"/>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Präzise Kraftvektoren mit Richtungsangaben</w:t>
      </w:r>
    </w:p>
    <w:p w14:paraId="5B500157" w14:textId="77777777" w:rsidR="00DF156F" w:rsidRPr="00DF156F" w:rsidRDefault="00DF156F" w:rsidP="00714222">
      <w:pPr>
        <w:numPr>
          <w:ilvl w:val="0"/>
          <w:numId w:val="189"/>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Maßangaben in Ellen und Metern</w:t>
      </w:r>
    </w:p>
    <w:p w14:paraId="6EBA4038" w14:textId="77777777" w:rsidR="00DF156F" w:rsidRPr="00DF156F" w:rsidRDefault="00DF156F" w:rsidP="00714222">
      <w:pPr>
        <w:numPr>
          <w:ilvl w:val="0"/>
          <w:numId w:val="189"/>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Detaillierte Spezifikationen für beide Konstruktionstypen</w:t>
      </w:r>
    </w:p>
    <w:p w14:paraId="37CBE021" w14:textId="77777777" w:rsidR="00DF156F" w:rsidRPr="00DF156F" w:rsidRDefault="00DF156F" w:rsidP="00714222">
      <w:pPr>
        <w:numPr>
          <w:ilvl w:val="0"/>
          <w:numId w:val="189"/>
        </w:numPr>
        <w:spacing w:before="100" w:beforeAutospacing="1" w:after="100" w:afterAutospacing="1"/>
        <w:rPr>
          <w:rFonts w:ascii="Times New Roman" w:eastAsia="Times New Roman" w:hAnsi="Times New Roman"/>
          <w:lang w:eastAsia="de-DE"/>
        </w:rPr>
      </w:pPr>
      <w:r w:rsidRPr="00DF156F">
        <w:rPr>
          <w:rFonts w:ascii="Times New Roman" w:eastAsia="Times New Roman" w:hAnsi="Times New Roman"/>
          <w:lang w:eastAsia="de-DE"/>
        </w:rPr>
        <w:t>Farbkodierung der verschiedenen Kräfte</w:t>
      </w:r>
    </w:p>
    <w:p w14:paraId="198A359F" w14:textId="77777777" w:rsidR="00D749FD" w:rsidRPr="00C6615A" w:rsidRDefault="00D749FD" w:rsidP="00C6615A">
      <w:pPr>
        <w:rPr>
          <w:rStyle w:val="Fett"/>
          <w:rFonts w:ascii="Times New Roman" w:hAnsi="Times New Roman"/>
          <w:lang w:eastAsia="de-DE"/>
        </w:rPr>
      </w:pPr>
      <w:r w:rsidRPr="00C6615A">
        <w:rPr>
          <w:rStyle w:val="Fett"/>
          <w:rFonts w:ascii="Times New Roman" w:hAnsi="Times New Roman"/>
          <w:lang w:eastAsia="de-DE"/>
        </w:rPr>
        <w:t>Seismische Energieberechnung</w:t>
      </w:r>
      <w:r w:rsidR="00C6615A">
        <w:rPr>
          <w:rStyle w:val="Fett"/>
          <w:rFonts w:ascii="Times New Roman" w:hAnsi="Times New Roman"/>
          <w:lang w:eastAsia="de-DE"/>
        </w:rPr>
        <w:t>:</w:t>
      </w:r>
    </w:p>
    <w:p w14:paraId="12D70589" w14:textId="77777777" w:rsidR="00D749FD" w:rsidRDefault="00D749FD" w:rsidP="00D749FD">
      <w:pPr>
        <w:pStyle w:val="whitespace-pre-wrap"/>
      </w:pPr>
      <w:r>
        <w:t>Die Kombination der Phänomene erforderte erhebliche Energiemengen:</w:t>
      </w:r>
    </w:p>
    <w:p w14:paraId="1DA2F1C9" w14:textId="77777777" w:rsidR="00D749FD" w:rsidRPr="00464BF9" w:rsidRDefault="00D749FD" w:rsidP="00714222">
      <w:pPr>
        <w:numPr>
          <w:ilvl w:val="0"/>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b/>
          <w:bCs/>
          <w:lang w:eastAsia="de-DE"/>
        </w:rPr>
        <w:t>Gesamtenergieaufwand:</w:t>
      </w:r>
      <w:r w:rsidRPr="00464BF9">
        <w:rPr>
          <w:rFonts w:ascii="Times New Roman" w:eastAsia="Times New Roman" w:hAnsi="Times New Roman"/>
          <w:lang w:eastAsia="de-DE"/>
        </w:rPr>
        <w:t xml:space="preserve"> </w:t>
      </w:r>
    </w:p>
    <w:p w14:paraId="4379CEF3" w14:textId="77777777" w:rsidR="00D749FD" w:rsidRPr="00464BF9" w:rsidRDefault="00D749FD" w:rsidP="00714222">
      <w:pPr>
        <w:numPr>
          <w:ilvl w:val="1"/>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Tempeltüren: ~40.000 Joule</w:t>
      </w:r>
    </w:p>
    <w:p w14:paraId="18B3ADCC" w14:textId="77777777" w:rsidR="00D749FD" w:rsidRPr="00464BF9" w:rsidRDefault="00D749FD" w:rsidP="00714222">
      <w:pPr>
        <w:numPr>
          <w:ilvl w:val="1"/>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Gräberöffnung (pro Grab): ~15.000 Joule</w:t>
      </w:r>
    </w:p>
    <w:p w14:paraId="5F6933AB" w14:textId="77777777" w:rsidR="00D749FD" w:rsidRPr="00464BF9" w:rsidRDefault="00D749FD" w:rsidP="00714222">
      <w:pPr>
        <w:numPr>
          <w:ilvl w:val="1"/>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Bei geschätzten 100 Gräbern: ~1,5×10⁶ Joule</w:t>
      </w:r>
    </w:p>
    <w:p w14:paraId="47977ADF" w14:textId="77777777" w:rsidR="00D749FD" w:rsidRPr="00464BF9" w:rsidRDefault="00D749FD" w:rsidP="00714222">
      <w:pPr>
        <w:numPr>
          <w:ilvl w:val="0"/>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b/>
          <w:bCs/>
          <w:lang w:eastAsia="de-DE"/>
        </w:rPr>
        <w:t>Seismische Energie:</w:t>
      </w:r>
      <w:r w:rsidRPr="00464BF9">
        <w:rPr>
          <w:rFonts w:ascii="Times New Roman" w:eastAsia="Times New Roman" w:hAnsi="Times New Roman"/>
          <w:lang w:eastAsia="de-DE"/>
        </w:rPr>
        <w:t xml:space="preserve"> </w:t>
      </w:r>
    </w:p>
    <w:p w14:paraId="2D5EF19B" w14:textId="77777777" w:rsidR="00D749FD" w:rsidRPr="00464BF9" w:rsidRDefault="00D749FD" w:rsidP="00714222">
      <w:pPr>
        <w:numPr>
          <w:ilvl w:val="1"/>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Erforderliche Magnitude: ~5,5 auf Richterskala</w:t>
      </w:r>
    </w:p>
    <w:p w14:paraId="694F22A4" w14:textId="77777777" w:rsidR="00D749FD" w:rsidRPr="00464BF9" w:rsidRDefault="00D749FD" w:rsidP="00714222">
      <w:pPr>
        <w:numPr>
          <w:ilvl w:val="1"/>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Energiefreisetzung: ~4×10¹² Joule</w:t>
      </w:r>
    </w:p>
    <w:p w14:paraId="624FB2FE" w14:textId="77777777" w:rsidR="00D749FD" w:rsidRPr="00464BF9" w:rsidRDefault="00D749FD" w:rsidP="00714222">
      <w:pPr>
        <w:numPr>
          <w:ilvl w:val="0"/>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b/>
          <w:bCs/>
          <w:lang w:eastAsia="de-DE"/>
        </w:rPr>
        <w:t>Gesteinsverformung:</w:t>
      </w:r>
      <w:r w:rsidRPr="00464BF9">
        <w:rPr>
          <w:rFonts w:ascii="Times New Roman" w:eastAsia="Times New Roman" w:hAnsi="Times New Roman"/>
          <w:lang w:eastAsia="de-DE"/>
        </w:rPr>
        <w:t xml:space="preserve"> </w:t>
      </w:r>
    </w:p>
    <w:p w14:paraId="3B429AB3" w14:textId="77777777" w:rsidR="00D749FD" w:rsidRPr="00464BF9" w:rsidRDefault="00D749FD" w:rsidP="00714222">
      <w:pPr>
        <w:numPr>
          <w:ilvl w:val="1"/>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Bruchfestigkeit Kalkstein: 40-50 MPa</w:t>
      </w:r>
    </w:p>
    <w:p w14:paraId="2F8C4F6F" w14:textId="77777777" w:rsidR="00D749FD" w:rsidRPr="00464BF9" w:rsidRDefault="00D749FD" w:rsidP="00714222">
      <w:pPr>
        <w:numPr>
          <w:ilvl w:val="1"/>
          <w:numId w:val="13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Erforderliche Spannung für Felsspaltung: &gt;40 MPa</w:t>
      </w:r>
    </w:p>
    <w:p w14:paraId="0AA26DFE" w14:textId="77777777" w:rsidR="00D749FD" w:rsidRDefault="00D749FD" w:rsidP="00D749FD">
      <w:pPr>
        <w:pStyle w:val="whitespace-pre-wrap"/>
      </w:pPr>
      <w:r>
        <w:t>Der Talmud (Yoma 39b) berichtet weiter von anderen ungewöhnlichen Phänomenen im Tempel während dieser Zeit:</w:t>
      </w:r>
    </w:p>
    <w:p w14:paraId="06CD4213" w14:textId="77777777" w:rsidR="00D749FD" w:rsidRPr="00464BF9" w:rsidRDefault="00D749FD" w:rsidP="00714222">
      <w:pPr>
        <w:numPr>
          <w:ilvl w:val="0"/>
          <w:numId w:val="134"/>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Das Los für den Herrn erschien nicht mehr in der rechten Hand</w:t>
      </w:r>
    </w:p>
    <w:p w14:paraId="1978AF87" w14:textId="77777777" w:rsidR="00D749FD" w:rsidRPr="00464BF9" w:rsidRDefault="00D749FD" w:rsidP="00714222">
      <w:pPr>
        <w:numPr>
          <w:ilvl w:val="0"/>
          <w:numId w:val="134"/>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Der westliche Leuchter erlosch</w:t>
      </w:r>
    </w:p>
    <w:p w14:paraId="2A8645DC" w14:textId="77777777" w:rsidR="00D749FD" w:rsidRPr="00464BF9" w:rsidRDefault="00D749FD" w:rsidP="00714222">
      <w:pPr>
        <w:numPr>
          <w:ilvl w:val="0"/>
          <w:numId w:val="134"/>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Die Tempeltüren öffneten sich von selbst</w:t>
      </w:r>
    </w:p>
    <w:p w14:paraId="5E5F3C0B" w14:textId="77777777" w:rsidR="00D749FD" w:rsidRDefault="00D749FD" w:rsidP="00D749FD">
      <w:pPr>
        <w:pStyle w:val="whitespace-pre-wrap"/>
      </w:pPr>
      <w:r>
        <w:lastRenderedPageBreak/>
        <w:t>Diese Phänomene werden zeitlich mit dem Tod Jesu in Verbindung gebracht. Die physikalischen Berechnungen zeigen die außergewöhnliche Natur dieser Ereignisse.</w:t>
      </w:r>
    </w:p>
    <w:p w14:paraId="708EBC90" w14:textId="77777777" w:rsidR="00333347" w:rsidRDefault="00333347" w:rsidP="00333347">
      <w:pPr>
        <w:pStyle w:val="berschrift2"/>
        <w:rPr>
          <w:sz w:val="48"/>
          <w:szCs w:val="48"/>
        </w:rPr>
      </w:pPr>
      <w:r>
        <w:t>5.9 Synthese der physikalischen Phänomene</w:t>
      </w:r>
    </w:p>
    <w:p w14:paraId="0DB80D5F" w14:textId="77777777" w:rsidR="00333347" w:rsidRDefault="00333347" w:rsidP="00333347">
      <w:pPr>
        <w:pStyle w:val="whitespace-pre-wrap"/>
      </w:pPr>
      <w:r>
        <w:t>Die Kreuzigung Jesu war von einer bemerkenswerten Konvergenz außergewöhnlicher physikalischer Ereignisse begleitet. Die dreistündige Finsternis von der sechsten bis zur neunten Stunde überstieg mit einer Dauer von 180 Minuten bei weitem die maximal möglichen 7,5 Minuten einer natürlichen Sonnenfinsternis. Die dokumentierte Lichtreduktion um 99,99% von etwa 100.000 Lux auf 1-10 Lux führte zu dramatisch veränderten Sichtverhältnissen, die durch multiple historische Quellen bestätigt werden.</w:t>
      </w:r>
    </w:p>
    <w:p w14:paraId="5C388819" w14:textId="77777777" w:rsidR="00333347" w:rsidRDefault="00333347" w:rsidP="00333347">
      <w:pPr>
        <w:pStyle w:val="whitespace-pre-wrap"/>
      </w:pPr>
      <w:r>
        <w:t>Parallel dazu ereignete sich ein Erdbeben mit einer geschätzten Magnitude von 5-6 auf der Richterskala, das eine seismische Energie von etwa 6,41×10²⁵ Joule freisetzte. Die seismischen Wellen breiteten sich mit Geschwindigkeiten von 5-8 km/s (P-Wellen), 3-4 km/s (S-Wellen) und 2-3 km/s (Oberflächenwellen) aus. Die Auswirkungen waren bis nach Nicäa in Kleinasien spürbar, mit dokumentierten Schäden im Umkreis von etwa 100 km um Jerusalem.</w:t>
      </w:r>
    </w:p>
    <w:p w14:paraId="19229B7B" w14:textId="77777777" w:rsidR="00333347" w:rsidRDefault="00333347" w:rsidP="00333347">
      <w:pPr>
        <w:pStyle w:val="whitespace-pre-wrap"/>
      </w:pPr>
      <w:r>
        <w:t>Diese seismische Aktivität verursachte mehrere strukturelle Effekte: Das Zerreißen des massiven Tempelvorhangs (mit einem berechneten Gewicht von 8.400-10.500 kg), die Öffnung mehrerer Gräber durch die Verschiebung schwerer Verschlusssteine (1.500-2.000 kg pro Stein) und das selbsttätige Öffnen der monumentalen Tempeltüren (etwa 2.000 kg pro Türflügel). Die erforderlichen Kräfte für diese Ereignisse - beispielsweise etwa 15.000N Verschiebekraft pro Grabstein - wurden durch die seismischen Erschütterungen bereitgestellt.</w:t>
      </w:r>
    </w:p>
    <w:p w14:paraId="0F90AE45" w14:textId="77777777" w:rsidR="00333347" w:rsidRDefault="00333347" w:rsidP="00333347">
      <w:pPr>
        <w:pStyle w:val="whitespace-pre-wrap"/>
      </w:pPr>
      <w:r>
        <w:lastRenderedPageBreak/>
        <w:t>Der finale Todesschrei Jesu, mit einer initialen Lautstärke von etwa 110 dB, war trotz geometrischer Schallabschwächung (-6 dB pro Entfernungsverdoppelung) und zusätzlicher Dämpfung durch Stadtmauer (-10 dB), Gebäude (-5 dB) und Atmosphäre (-2 dB) noch an der etwa 600m entfernten Burg Antonia mit etwa 37 dB wahrnehmbar. Dies wurde durch die außergewöhnlich stillen atmosphärischen Bedingungen während der Finsternis begünstigt.</w:t>
      </w:r>
    </w:p>
    <w:p w14:paraId="660C554A" w14:textId="77777777" w:rsidR="00333347" w:rsidRDefault="00333347" w:rsidP="00333347">
      <w:pPr>
        <w:pStyle w:val="whitespace-pre-wrap"/>
      </w:pPr>
      <w:r>
        <w:t>Die atmosphärischen Bedingungen selbst waren ebenfalls bemerkenswert: Eine durchschnittliche Windgeschwindigkeit von nur 0,29 m/s mit gelegentlichen Böen bis 2 m/s, ein markanter Temperaturabfall von etwa 10,3°C und ein Energieverlust von etwa 600 W/m² charakterisierten die ungewöhnliche meteorologische Situation.</w:t>
      </w:r>
    </w:p>
    <w:p w14:paraId="7A2F7CAB" w14:textId="77777777" w:rsidR="00333347" w:rsidRDefault="00333347" w:rsidP="00333347">
      <w:pPr>
        <w:pStyle w:val="whitespace-pre-wrap"/>
      </w:pPr>
      <w:r>
        <w:t>Die Gesamtheit dieser physikalischen Phänomene - die astronomisch unmögliche Finsternis, das weitreichende Erdbeben mit seinen strukturellen Auswirkungen, die außergewöhnlichen atmosphärischen Bedingungen und die akustische Übertragung des Todesschreis - übersteigt in ihrer Synchronizität und Magnitude jede natürliche Erklärung. Die berechneten Kräfte und Energien gehen weit über die normalen tektonischen und atmosphärischen Aktivitäten der Region hinaus und unterstreichen den außergewöhnlichen Charakter dieser Ereignisse.</w:t>
      </w:r>
    </w:p>
    <w:p w14:paraId="58A4CD00" w14:textId="77777777" w:rsidR="000B0758" w:rsidRPr="000B0758" w:rsidRDefault="000B0758" w:rsidP="00C6615A">
      <w:pPr>
        <w:pStyle w:val="berschrift1"/>
        <w:rPr>
          <w:rFonts w:eastAsia="Times New Roman"/>
          <w:lang w:eastAsia="de-DE"/>
        </w:rPr>
      </w:pPr>
      <w:r w:rsidRPr="000B0758">
        <w:rPr>
          <w:rFonts w:eastAsia="Times New Roman"/>
          <w:lang w:eastAsia="de-DE"/>
        </w:rPr>
        <w:t>6. Archäologische Evidenz</w:t>
      </w:r>
      <w:r w:rsidR="00973F2A">
        <w:rPr>
          <w:rFonts w:eastAsia="Times New Roman"/>
          <w:lang w:eastAsia="de-DE"/>
        </w:rPr>
        <w:t>en</w:t>
      </w:r>
      <w:r w:rsidR="00C6615A">
        <w:rPr>
          <w:rFonts w:eastAsia="Times New Roman"/>
          <w:lang w:eastAsia="de-DE"/>
        </w:rPr>
        <w:t xml:space="preserve"> </w:t>
      </w:r>
    </w:p>
    <w:p w14:paraId="12A61424" w14:textId="77777777" w:rsidR="000B0758" w:rsidRPr="000B0758" w:rsidRDefault="000B0758" w:rsidP="00C6615A">
      <w:pPr>
        <w:pStyle w:val="berschrift2"/>
        <w:rPr>
          <w:rFonts w:eastAsia="Times New Roman"/>
          <w:lang w:eastAsia="de-DE"/>
        </w:rPr>
      </w:pPr>
      <w:r w:rsidRPr="000B0758">
        <w:rPr>
          <w:rFonts w:eastAsia="Times New Roman"/>
          <w:lang w:eastAsia="de-DE"/>
        </w:rPr>
        <w:t>6.1 Golgatha-Lokalisierung</w:t>
      </w:r>
    </w:p>
    <w:p w14:paraId="1AFEF8C2" w14:textId="77777777" w:rsidR="000B0758" w:rsidRPr="000B0758" w:rsidRDefault="000B0758" w:rsidP="00C6615A">
      <w:pPr>
        <w:pStyle w:val="berschrift3"/>
        <w:rPr>
          <w:rFonts w:eastAsia="Times New Roman"/>
          <w:lang w:eastAsia="de-DE"/>
        </w:rPr>
      </w:pPr>
      <w:r w:rsidRPr="000B0758">
        <w:rPr>
          <w:rFonts w:eastAsia="Times New Roman"/>
          <w:lang w:eastAsia="de-DE"/>
        </w:rPr>
        <w:t>6.1.1 Gordons Golgatha</w:t>
      </w:r>
    </w:p>
    <w:p w14:paraId="7D5BA21A" w14:textId="77777777" w:rsidR="000B0758" w:rsidRPr="000B0758" w:rsidRDefault="000B0758" w:rsidP="00C6615A">
      <w:p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Geologische Merkmale:</w:t>
      </w:r>
      <w:r w:rsidRPr="000B0758">
        <w:rPr>
          <w:rFonts w:ascii="Times New Roman" w:eastAsia="Times New Roman" w:hAnsi="Times New Roman"/>
          <w:lang w:eastAsia="de-DE"/>
        </w:rPr>
        <w:t xml:space="preserve"> </w:t>
      </w:r>
    </w:p>
    <w:p w14:paraId="0209AA19" w14:textId="77777777" w:rsidR="000B0758" w:rsidRPr="000B0758" w:rsidRDefault="000B0758" w:rsidP="001B6D02">
      <w:pPr>
        <w:numPr>
          <w:ilvl w:val="1"/>
          <w:numId w:val="17"/>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Natürliche Schädelform im Kalkstein</w:t>
      </w:r>
    </w:p>
    <w:p w14:paraId="204F9F28" w14:textId="77777777" w:rsidR="000B0758" w:rsidRPr="000B0758" w:rsidRDefault="000B0758" w:rsidP="001B6D02">
      <w:pPr>
        <w:numPr>
          <w:ilvl w:val="1"/>
          <w:numId w:val="17"/>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lastRenderedPageBreak/>
        <w:t>Höhe: 760m über Meeresspiegel</w:t>
      </w:r>
    </w:p>
    <w:p w14:paraId="402075BF" w14:textId="77777777" w:rsidR="000B0758" w:rsidRPr="000B0758" w:rsidRDefault="000B0758" w:rsidP="001B6D02">
      <w:pPr>
        <w:numPr>
          <w:ilvl w:val="1"/>
          <w:numId w:val="17"/>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Dokumentierte Stabilität seit römischer Zeit</w:t>
      </w:r>
    </w:p>
    <w:p w14:paraId="5A57BA9B" w14:textId="77777777" w:rsidR="000B0758" w:rsidRPr="000B0758" w:rsidRDefault="000B0758" w:rsidP="001B6D02">
      <w:pPr>
        <w:numPr>
          <w:ilvl w:val="1"/>
          <w:numId w:val="17"/>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Typische Erosionsformen</w:t>
      </w:r>
    </w:p>
    <w:p w14:paraId="293DC45E" w14:textId="77777777" w:rsidR="000B0758" w:rsidRPr="000B0758" w:rsidRDefault="000B0758" w:rsidP="00C6615A">
      <w:p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Archäologische Kriterien:</w:t>
      </w:r>
      <w:r w:rsidRPr="000B0758">
        <w:rPr>
          <w:rFonts w:ascii="Times New Roman" w:eastAsia="Times New Roman" w:hAnsi="Times New Roman"/>
          <w:lang w:eastAsia="de-DE"/>
        </w:rPr>
        <w:t xml:space="preserve"> </w:t>
      </w:r>
    </w:p>
    <w:p w14:paraId="04A0015F" w14:textId="77777777" w:rsidR="000B0758" w:rsidRPr="000B0758" w:rsidRDefault="000B0758" w:rsidP="001B6D02">
      <w:pPr>
        <w:numPr>
          <w:ilvl w:val="1"/>
          <w:numId w:val="17"/>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Position außerhalb der Stadtmauern</w:t>
      </w:r>
    </w:p>
    <w:p w14:paraId="7135AE6F" w14:textId="77777777" w:rsidR="000B0758" w:rsidRPr="000B0758" w:rsidRDefault="000B0758" w:rsidP="001B6D02">
      <w:pPr>
        <w:numPr>
          <w:ilvl w:val="1"/>
          <w:numId w:val="17"/>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Lage an Hauptverkehrsstraße</w:t>
      </w:r>
    </w:p>
    <w:p w14:paraId="2E6AC674" w14:textId="77777777" w:rsidR="000B0758" w:rsidRPr="000B0758" w:rsidRDefault="000B0758" w:rsidP="001B6D02">
      <w:pPr>
        <w:numPr>
          <w:ilvl w:val="1"/>
          <w:numId w:val="17"/>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Erhöhte, gut sichtbare Position</w:t>
      </w:r>
    </w:p>
    <w:p w14:paraId="2A332C5E" w14:textId="77777777" w:rsidR="000B0758" w:rsidRDefault="000B0758" w:rsidP="001B6D02">
      <w:pPr>
        <w:numPr>
          <w:ilvl w:val="1"/>
          <w:numId w:val="17"/>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Römische Straßenreste</w:t>
      </w:r>
    </w:p>
    <w:p w14:paraId="27A635B9"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Die Lokalisierung des Kreuzigungsortes ist mehr als eine topographische Untersuchung - sie ist eine archäologische Rekonstruktion eines der bedeutendsten Momente der Menschheitsgeschichte. Gordons Golgatha bietet eine faszinierende Verbindung geologischer Merkmale und historischer Evidenz.</w:t>
      </w:r>
    </w:p>
    <w:p w14:paraId="0A7EFD9F"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Geologische Charakteristik</w:t>
      </w:r>
    </w:p>
    <w:p w14:paraId="087A71EF"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Die markanteste Besonderheit ist die natürliche Schädelformation im Kalkstein. Diese geologische Struktur, die dem Ort seinen Namen „Schädelhöhe" (Golgatha) verlieh, ist keine zufällige Landschaftsformation, sondern ein geologisches Dokument.</w:t>
      </w:r>
    </w:p>
    <w:p w14:paraId="0BEE6267"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Die Höhe von 760 Metern über dem Meeresspiegel bot strategische Vorteile:</w:t>
      </w:r>
    </w:p>
    <w:p w14:paraId="16278EBB" w14:textId="77777777" w:rsidR="00121292" w:rsidRPr="00121292" w:rsidRDefault="00121292" w:rsidP="001B6D02">
      <w:pPr>
        <w:numPr>
          <w:ilvl w:val="0"/>
          <w:numId w:val="72"/>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Exzellente Sichtbarkeit</w:t>
      </w:r>
    </w:p>
    <w:p w14:paraId="5B5B8DE7" w14:textId="77777777" w:rsidR="00121292" w:rsidRPr="00121292" w:rsidRDefault="00121292" w:rsidP="001B6D02">
      <w:pPr>
        <w:numPr>
          <w:ilvl w:val="0"/>
          <w:numId w:val="72"/>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Kontrollpunkt für Hinrichtungen</w:t>
      </w:r>
    </w:p>
    <w:p w14:paraId="4C4D52B2" w14:textId="77777777" w:rsidR="00121292" w:rsidRPr="00121292" w:rsidRDefault="00121292" w:rsidP="001B6D02">
      <w:pPr>
        <w:numPr>
          <w:ilvl w:val="0"/>
          <w:numId w:val="72"/>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Symbolische Erhebung über die Stadtlandschaft</w:t>
      </w:r>
    </w:p>
    <w:p w14:paraId="16069D27"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 xml:space="preserve">Die dokumentierte geologische Stabilität seit römischer Zeit unterstreicht die Kontinuität des Ortes. Typische Erosionsformen im Kalkstein zeigen eine langsame, aber stetige </w:t>
      </w:r>
      <w:r w:rsidRPr="00121292">
        <w:rPr>
          <w:rFonts w:ascii="Times New Roman" w:eastAsia="Times New Roman" w:hAnsi="Times New Roman"/>
          <w:lang w:eastAsia="de-DE"/>
        </w:rPr>
        <w:lastRenderedPageBreak/>
        <w:t>Landschaftsveränderung, die archäologische Rückschlüsse ermöglicht.</w:t>
      </w:r>
    </w:p>
    <w:p w14:paraId="3FDE0D48"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Archäologische Evidenz</w:t>
      </w:r>
    </w:p>
    <w:p w14:paraId="00589928"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Die Position außerhalb der Stadtmauern entspricht römischen Hinrichtungspraktiken. Kreuzigungen wurden bewusst an gut sichtbaren Orten durchgeführt, um maximale abschreckende Wirkung zu erzielen.</w:t>
      </w:r>
    </w:p>
    <w:p w14:paraId="69711B58"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Die Lage an einer Hauptverkehrsstraße war kein Zufall:</w:t>
      </w:r>
    </w:p>
    <w:p w14:paraId="4AC4102D" w14:textId="77777777" w:rsidR="00121292" w:rsidRPr="00121292" w:rsidRDefault="00121292" w:rsidP="001B6D02">
      <w:pPr>
        <w:numPr>
          <w:ilvl w:val="0"/>
          <w:numId w:val="73"/>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Maximale öffentliche Sichtbarkeit</w:t>
      </w:r>
    </w:p>
    <w:p w14:paraId="0510E174" w14:textId="77777777" w:rsidR="00121292" w:rsidRPr="00121292" w:rsidRDefault="00121292" w:rsidP="001B6D02">
      <w:pPr>
        <w:numPr>
          <w:ilvl w:val="0"/>
          <w:numId w:val="73"/>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Abschreckung für potenzielle Aufrührer</w:t>
      </w:r>
    </w:p>
    <w:p w14:paraId="0C40E196" w14:textId="77777777" w:rsidR="00121292" w:rsidRPr="00121292" w:rsidRDefault="00121292" w:rsidP="001B6D02">
      <w:pPr>
        <w:numPr>
          <w:ilvl w:val="0"/>
          <w:numId w:val="73"/>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Leichte Zugänglichkeit für Verwaltung und Wachen</w:t>
      </w:r>
    </w:p>
    <w:p w14:paraId="744FDCF4"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Römische Straßenreste bestätigen die infrastrukturelle Bedeutung des Ortes. Die erhöhte, gut sichtbare Position entsprach römischen Stadplanungsprinzipien und militärischen Strategien.</w:t>
      </w:r>
    </w:p>
    <w:p w14:paraId="53212E5F"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Historischer Kontext</w:t>
      </w:r>
    </w:p>
    <w:p w14:paraId="15E65AAA"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Flavius Josephus und römische Verwaltungsakten beschreiben ähnliche Hinrichtungsorte. Die Architektur und Topographie von Gordons Golgatha korrespondieren präzise mit diesen historischen Beschreibungen.</w:t>
      </w:r>
    </w:p>
    <w:p w14:paraId="6531000D" w14:textId="77777777" w:rsidR="000B0758" w:rsidRPr="000B0758" w:rsidRDefault="000B0758" w:rsidP="00C6615A">
      <w:pPr>
        <w:pStyle w:val="berschrift3"/>
        <w:rPr>
          <w:rFonts w:eastAsia="Times New Roman"/>
          <w:lang w:eastAsia="de-DE"/>
        </w:rPr>
      </w:pPr>
      <w:r w:rsidRPr="000B0758">
        <w:rPr>
          <w:rFonts w:eastAsia="Times New Roman"/>
          <w:lang w:eastAsia="de-DE"/>
        </w:rPr>
        <w:t>6.1.2 Strategische Bedeutung</w:t>
      </w:r>
    </w:p>
    <w:p w14:paraId="2B357D74" w14:textId="77777777" w:rsidR="000B0758" w:rsidRPr="000B0758" w:rsidRDefault="000B0758" w:rsidP="001B6D02">
      <w:pPr>
        <w:numPr>
          <w:ilvl w:val="0"/>
          <w:numId w:val="18"/>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Sichtlinie zum Tempelberg</w:t>
      </w:r>
    </w:p>
    <w:p w14:paraId="0B23C598" w14:textId="77777777" w:rsidR="000B0758" w:rsidRPr="000B0758" w:rsidRDefault="000B0758" w:rsidP="001B6D02">
      <w:pPr>
        <w:numPr>
          <w:ilvl w:val="0"/>
          <w:numId w:val="18"/>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Kontrollpunkt für römische Wachen</w:t>
      </w:r>
    </w:p>
    <w:p w14:paraId="7495BB0A" w14:textId="77777777" w:rsidR="000B0758" w:rsidRPr="000B0758" w:rsidRDefault="000B0758" w:rsidP="001B6D02">
      <w:pPr>
        <w:numPr>
          <w:ilvl w:val="0"/>
          <w:numId w:val="18"/>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Nähe zum Gartengräberfeld</w:t>
      </w:r>
    </w:p>
    <w:p w14:paraId="76C831E5" w14:textId="77777777" w:rsidR="000B0758" w:rsidRDefault="000B0758" w:rsidP="001B6D02">
      <w:pPr>
        <w:numPr>
          <w:ilvl w:val="0"/>
          <w:numId w:val="18"/>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Optimale Abschreckungswirkung</w:t>
      </w:r>
    </w:p>
    <w:p w14:paraId="677350F0"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lastRenderedPageBreak/>
        <w:t>Die Wahl des Hinrichtungsortes war keine zufällige Entscheidung, sondern ein präzis geplantes römisches Instrument politischer Machtdemonstration.</w:t>
      </w:r>
    </w:p>
    <w:p w14:paraId="5A5A720E"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Sichtlinie zum Tempelberg</w:t>
      </w:r>
      <w:r w:rsidR="00C6615A">
        <w:rPr>
          <w:rFonts w:ascii="Times New Roman" w:eastAsia="Times New Roman" w:hAnsi="Times New Roman"/>
          <w:b/>
          <w:bCs/>
          <w:lang w:eastAsia="de-DE"/>
        </w:rPr>
        <w:t>:</w:t>
      </w:r>
    </w:p>
    <w:p w14:paraId="06C54649"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Die direkte Sichtverbindung zum religiösen Zentrum Jerusalems war keine topographische Zufälligkeit, sondern strategische Provokation. Flavius Josephus beschreibt in seinen „Jüdischen Altertümern" die symbolische Bedeutung solcher Positionierungen. Die römische Verwaltung nutzte jede Gelegenheit, jüdische religiöse Sensibilitäten zu unterminieren.</w:t>
      </w:r>
    </w:p>
    <w:p w14:paraId="56A2871F" w14:textId="77777777" w:rsidR="00121292" w:rsidRPr="00C6615A" w:rsidRDefault="00121292" w:rsidP="00121292">
      <w:pPr>
        <w:spacing w:before="100" w:beforeAutospacing="1" w:after="100" w:afterAutospacing="1"/>
        <w:rPr>
          <w:rFonts w:ascii="Times New Roman" w:eastAsia="Times New Roman" w:hAnsi="Times New Roman"/>
          <w:b/>
          <w:bCs/>
          <w:lang w:eastAsia="de-DE"/>
        </w:rPr>
      </w:pPr>
      <w:r w:rsidRPr="00C6615A">
        <w:rPr>
          <w:rFonts w:ascii="Times New Roman" w:eastAsia="Times New Roman" w:hAnsi="Times New Roman"/>
          <w:b/>
          <w:bCs/>
          <w:lang w:eastAsia="de-DE"/>
        </w:rPr>
        <w:t>Historische Kontexte:</w:t>
      </w:r>
    </w:p>
    <w:p w14:paraId="6D769A96" w14:textId="77777777" w:rsidR="00121292" w:rsidRPr="00121292" w:rsidRDefault="00121292" w:rsidP="001B6D02">
      <w:pPr>
        <w:numPr>
          <w:ilvl w:val="0"/>
          <w:numId w:val="74"/>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Tempelberg als spirituelles Zentrum</w:t>
      </w:r>
    </w:p>
    <w:p w14:paraId="77070BFB" w14:textId="77777777" w:rsidR="00121292" w:rsidRPr="00121292" w:rsidRDefault="00121292" w:rsidP="001B6D02">
      <w:pPr>
        <w:numPr>
          <w:ilvl w:val="0"/>
          <w:numId w:val="74"/>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Ort politischer und religiöser Spannungen</w:t>
      </w:r>
    </w:p>
    <w:p w14:paraId="7E2FBB70" w14:textId="77777777" w:rsidR="00121292" w:rsidRPr="00121292" w:rsidRDefault="00121292" w:rsidP="001B6D02">
      <w:pPr>
        <w:numPr>
          <w:ilvl w:val="0"/>
          <w:numId w:val="74"/>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Symbolische Demütigung durch Hinrichtungsort</w:t>
      </w:r>
    </w:p>
    <w:p w14:paraId="381F6927"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Kontrollpunkt für römische Wachen</w:t>
      </w:r>
      <w:r w:rsidR="00C6615A">
        <w:rPr>
          <w:rFonts w:ascii="Times New Roman" w:eastAsia="Times New Roman" w:hAnsi="Times New Roman"/>
          <w:b/>
          <w:bCs/>
          <w:lang w:eastAsia="de-DE"/>
        </w:rPr>
        <w:t>:</w:t>
      </w:r>
    </w:p>
    <w:p w14:paraId="20F87429"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Die topographische Erhebung bot römischen Legionären optimale Übersicht. Tacitus und andere römische Historiker beschreiben die Bedeutung strategischer Positionen in besetzten Gebieten.</w:t>
      </w:r>
    </w:p>
    <w:p w14:paraId="10913FF1" w14:textId="77777777" w:rsidR="00121292" w:rsidRPr="00C6615A" w:rsidRDefault="00121292" w:rsidP="00121292">
      <w:pPr>
        <w:spacing w:before="100" w:beforeAutospacing="1" w:after="100" w:afterAutospacing="1"/>
        <w:rPr>
          <w:rFonts w:ascii="Times New Roman" w:eastAsia="Times New Roman" w:hAnsi="Times New Roman"/>
          <w:b/>
          <w:bCs/>
          <w:lang w:eastAsia="de-DE"/>
        </w:rPr>
      </w:pPr>
      <w:r w:rsidRPr="00C6615A">
        <w:rPr>
          <w:rFonts w:ascii="Times New Roman" w:eastAsia="Times New Roman" w:hAnsi="Times New Roman"/>
          <w:b/>
          <w:bCs/>
          <w:lang w:eastAsia="de-DE"/>
        </w:rPr>
        <w:t>Militärische Aspekte:</w:t>
      </w:r>
    </w:p>
    <w:p w14:paraId="1A4835ED" w14:textId="77777777" w:rsidR="00121292" w:rsidRPr="00121292" w:rsidRDefault="00121292" w:rsidP="001B6D02">
      <w:pPr>
        <w:numPr>
          <w:ilvl w:val="0"/>
          <w:numId w:val="75"/>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Schnelle Intervention bei Unruhen</w:t>
      </w:r>
    </w:p>
    <w:p w14:paraId="1DA2B248" w14:textId="77777777" w:rsidR="00121292" w:rsidRPr="00121292" w:rsidRDefault="00121292" w:rsidP="001B6D02">
      <w:pPr>
        <w:numPr>
          <w:ilvl w:val="0"/>
          <w:numId w:val="75"/>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Kontrolle von Verkehrswegen</w:t>
      </w:r>
    </w:p>
    <w:p w14:paraId="46E2E743" w14:textId="77777777" w:rsidR="00121292" w:rsidRPr="00121292" w:rsidRDefault="00121292" w:rsidP="001B6D02">
      <w:pPr>
        <w:numPr>
          <w:ilvl w:val="0"/>
          <w:numId w:val="75"/>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Psychologische Machtdemonstration</w:t>
      </w:r>
    </w:p>
    <w:p w14:paraId="2C88703C"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Nähe zum Gartengräberfeld</w:t>
      </w:r>
      <w:r w:rsidR="00C6615A">
        <w:rPr>
          <w:rFonts w:ascii="Times New Roman" w:eastAsia="Times New Roman" w:hAnsi="Times New Roman"/>
          <w:b/>
          <w:bCs/>
          <w:lang w:eastAsia="de-DE"/>
        </w:rPr>
        <w:t>:</w:t>
      </w:r>
    </w:p>
    <w:p w14:paraId="77EC5712"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 xml:space="preserve">Archäologische Untersuchungen zeigen die Bedeutung von Gräberfeldern in dieser Region. Die Nähe zu Begräbnisstätten war </w:t>
      </w:r>
      <w:r w:rsidRPr="00121292">
        <w:rPr>
          <w:rFonts w:ascii="Times New Roman" w:eastAsia="Times New Roman" w:hAnsi="Times New Roman"/>
          <w:lang w:eastAsia="de-DE"/>
        </w:rPr>
        <w:lastRenderedPageBreak/>
        <w:t>kein Zufall, sondern entsprach römischen Bestattungspraktiken und lokalen Traditionen.</w:t>
      </w:r>
    </w:p>
    <w:p w14:paraId="0B04170D" w14:textId="77777777" w:rsidR="00121292" w:rsidRPr="00C6615A" w:rsidRDefault="00121292" w:rsidP="00121292">
      <w:pPr>
        <w:spacing w:before="100" w:beforeAutospacing="1" w:after="100" w:afterAutospacing="1"/>
        <w:rPr>
          <w:rFonts w:ascii="Times New Roman" w:eastAsia="Times New Roman" w:hAnsi="Times New Roman"/>
          <w:b/>
          <w:bCs/>
          <w:lang w:eastAsia="de-DE"/>
        </w:rPr>
      </w:pPr>
      <w:r w:rsidRPr="00C6615A">
        <w:rPr>
          <w:rFonts w:ascii="Times New Roman" w:eastAsia="Times New Roman" w:hAnsi="Times New Roman"/>
          <w:b/>
          <w:bCs/>
          <w:lang w:eastAsia="de-DE"/>
        </w:rPr>
        <w:t>Relevante Befunde:</w:t>
      </w:r>
    </w:p>
    <w:p w14:paraId="11AB6B36" w14:textId="77777777" w:rsidR="00121292" w:rsidRPr="00121292" w:rsidRDefault="00121292" w:rsidP="001B6D02">
      <w:pPr>
        <w:numPr>
          <w:ilvl w:val="0"/>
          <w:numId w:val="76"/>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Gräber aus dem 1. Jahrhundert</w:t>
      </w:r>
    </w:p>
    <w:p w14:paraId="0D282BD3" w14:textId="77777777" w:rsidR="00121292" w:rsidRPr="00121292" w:rsidRDefault="00121292" w:rsidP="001B6D02">
      <w:pPr>
        <w:numPr>
          <w:ilvl w:val="0"/>
          <w:numId w:val="76"/>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Topographische Untersuchungen Jerusalems</w:t>
      </w:r>
    </w:p>
    <w:p w14:paraId="1C1DC6EB" w14:textId="77777777" w:rsidR="00121292" w:rsidRPr="00121292" w:rsidRDefault="00121292" w:rsidP="001B6D02">
      <w:pPr>
        <w:numPr>
          <w:ilvl w:val="0"/>
          <w:numId w:val="76"/>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Kulturelle Bestattungstraditionen</w:t>
      </w:r>
    </w:p>
    <w:p w14:paraId="555A6313"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b/>
          <w:bCs/>
          <w:lang w:eastAsia="de-DE"/>
        </w:rPr>
        <w:t>Optimale Abschreckungswirkung</w:t>
      </w:r>
    </w:p>
    <w:p w14:paraId="060E2F6B" w14:textId="77777777" w:rsidR="00121292" w:rsidRPr="00121292" w:rsidRDefault="00121292" w:rsidP="00121292">
      <w:p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Die Positionierung maximierte die psychologische Wirkung. Römische Verwaltungsakten und Berichte wie die des Josephus zeigen die bewusste Inszenierung öffentlicher Hinrichtungen.</w:t>
      </w:r>
    </w:p>
    <w:p w14:paraId="774344BA" w14:textId="77777777" w:rsidR="00121292" w:rsidRPr="00C6615A" w:rsidRDefault="00121292" w:rsidP="00121292">
      <w:pPr>
        <w:spacing w:before="100" w:beforeAutospacing="1" w:after="100" w:afterAutospacing="1"/>
        <w:rPr>
          <w:rFonts w:ascii="Times New Roman" w:eastAsia="Times New Roman" w:hAnsi="Times New Roman"/>
          <w:b/>
          <w:bCs/>
          <w:lang w:eastAsia="de-DE"/>
        </w:rPr>
      </w:pPr>
      <w:r w:rsidRPr="00C6615A">
        <w:rPr>
          <w:rFonts w:ascii="Times New Roman" w:eastAsia="Times New Roman" w:hAnsi="Times New Roman"/>
          <w:b/>
          <w:bCs/>
          <w:lang w:eastAsia="de-DE"/>
        </w:rPr>
        <w:t>Historische Dimensionen:</w:t>
      </w:r>
    </w:p>
    <w:p w14:paraId="3918C386" w14:textId="77777777" w:rsidR="00121292" w:rsidRPr="00121292" w:rsidRDefault="00121292" w:rsidP="001B6D02">
      <w:pPr>
        <w:numPr>
          <w:ilvl w:val="0"/>
          <w:numId w:val="77"/>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Öffentliche Zurschaustellung</w:t>
      </w:r>
    </w:p>
    <w:p w14:paraId="75F22235" w14:textId="77777777" w:rsidR="00121292" w:rsidRPr="00121292" w:rsidRDefault="00121292" w:rsidP="001B6D02">
      <w:pPr>
        <w:numPr>
          <w:ilvl w:val="0"/>
          <w:numId w:val="77"/>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Demonstrative Machtausübung</w:t>
      </w:r>
    </w:p>
    <w:p w14:paraId="3667EAC6" w14:textId="77777777" w:rsidR="00121292" w:rsidRPr="00121292" w:rsidRDefault="00121292" w:rsidP="001B6D02">
      <w:pPr>
        <w:numPr>
          <w:ilvl w:val="0"/>
          <w:numId w:val="77"/>
        </w:numPr>
        <w:spacing w:before="100" w:beforeAutospacing="1" w:after="100" w:afterAutospacing="1"/>
        <w:rPr>
          <w:rFonts w:ascii="Times New Roman" w:eastAsia="Times New Roman" w:hAnsi="Times New Roman"/>
          <w:lang w:eastAsia="de-DE"/>
        </w:rPr>
      </w:pPr>
      <w:r w:rsidRPr="00121292">
        <w:rPr>
          <w:rFonts w:ascii="Times New Roman" w:eastAsia="Times New Roman" w:hAnsi="Times New Roman"/>
          <w:lang w:eastAsia="de-DE"/>
        </w:rPr>
        <w:t>Abschreckung von Aufrührern</w:t>
      </w:r>
    </w:p>
    <w:p w14:paraId="2C56C2F8" w14:textId="77777777" w:rsidR="00823620" w:rsidRDefault="00823620" w:rsidP="00823620">
      <w:pPr>
        <w:pStyle w:val="berschrift3"/>
        <w:rPr>
          <w:sz w:val="48"/>
          <w:szCs w:val="48"/>
        </w:rPr>
      </w:pPr>
      <w:r>
        <w:t>6.1.3 Etymologische Analyse von Golgatha</w:t>
      </w:r>
    </w:p>
    <w:p w14:paraId="73890FA5" w14:textId="77777777" w:rsidR="00823620" w:rsidRDefault="00823620" w:rsidP="00823620">
      <w:pPr>
        <w:pStyle w:val="whitespace-pre-wrap"/>
      </w:pPr>
      <w:r>
        <w:t>Die etymologische Untersuchung des Namens "Golgatha" offenbart bemerkenswerte sprachliche und theologische Verbindungen. Die hebräisch-aramäische Wurzel גלל (galal) trägt die Grundbedeutung des Wälzens, Rollens oder Bewegens. Diese Wurzel findet sich auch im Namen "Gilgal", dem ersten Lagerplatz Israels nach der Wüstenwanderung im verheißenen Land, wo Josua die Beschneidung des Volkes durchführte. In Josua 5,9 erklärt Gott selbst die Namensgebung: "Heute habe ich die Schande Ägyptens von euch abgewälzt (galal)." Gilgal wurde so zum Ort, wo die Last der ägyptischen Knechtschaft symbolisch abgewälzt wurde.</w:t>
      </w:r>
    </w:p>
    <w:p w14:paraId="643AE816" w14:textId="77777777" w:rsidR="00823620" w:rsidRDefault="00823620" w:rsidP="00823620">
      <w:pPr>
        <w:pStyle w:val="whitespace-pre-wrap"/>
      </w:pPr>
      <w:r>
        <w:lastRenderedPageBreak/>
        <w:t>Diese semantische Verbindung zwischen Gilgal und Golgatha ist bedeutsam: Während in Gilgal die Schande Ägyptens abgewälzt wurde, geschah auf Golgatha die ultimative "Abwälzung" – Jesus nahm die Last der menschlichen Sünde auf sich. Die physische Bewegung des Wälzens (wie in Genesis 29,3 beim Wegwälzen des Steins vom Brunnen) wird zur theologischen Metapher für den Transfer von Schuld und Last.</w:t>
      </w:r>
    </w:p>
    <w:p w14:paraId="192F421E" w14:textId="77777777" w:rsidR="00823620" w:rsidRDefault="00823620" w:rsidP="00823620">
      <w:pPr>
        <w:pStyle w:val="whitespace-pre-wrap"/>
      </w:pPr>
      <w:r>
        <w:t>Die übliche Deutung von Golgatha als "Schädelstätte" (aufgrund der schädelähnlichen Felsformation) erhält durch diese etymologische Perspektive eine zusätzliche Bedeutungsebene. Der "rollende" oder "wälzende" Aspekt der Wurzel גלל verweist nicht nur auf die hügelige Topographie, sondern auch auf den spirituellen Prozess der Schuldübertragung, der sich dort vollzog.</w:t>
      </w:r>
    </w:p>
    <w:p w14:paraId="31CEEA56" w14:textId="77777777" w:rsidR="00823620" w:rsidRDefault="00823620" w:rsidP="00823620">
      <w:pPr>
        <w:pStyle w:val="whitespace-pre-wrap"/>
      </w:pPr>
      <w:r>
        <w:t>In Psalm 22,9, einem messianischen Psalm, der direkt auf die Kreuzigung verweist, findet sich ebenfalls die Wurzel גלל im Kontext des "Überwälzens" auf den HERRN. Diese sprachliche Verbindung unterstreicht die theologische Parallele: Wie in Gilgal die Schande Ägyptens abgewälzt wurde, so wurde auf Golgatha die Sündenlast der Menschheit auf Christus "gewälzt" – eine endgültige und vollkommene Erfüllung dessen, was in Gilgal vorgeschattet war.</w:t>
      </w:r>
    </w:p>
    <w:p w14:paraId="0377D2F2" w14:textId="77777777" w:rsidR="00823620" w:rsidRDefault="00823620" w:rsidP="00823620">
      <w:pPr>
        <w:pStyle w:val="whitespace-pre-wrap"/>
      </w:pPr>
      <w:r>
        <w:t>Die dreifache Bedeutungsebene von גלל – die physische (Wälzbewegung), die psychologische (Lastentransfer) und die spirituelle (Übergabe der Schuld) – findet ihre vollkommene Synthese im Kreuzesgeschehen auf Golgatha. Der Ort wurde so zum ultimativen Punkt des göttlichen Lastentragens, wo Jesus, wie Jesaja 53,6 prophezeite, die Sünde aller auf sich nahm.</w:t>
      </w:r>
    </w:p>
    <w:p w14:paraId="335938B1" w14:textId="77777777" w:rsidR="00823620" w:rsidRDefault="00823620" w:rsidP="00823620">
      <w:pPr>
        <w:pStyle w:val="whitespace-pre-wrap"/>
      </w:pPr>
      <w:r>
        <w:t xml:space="preserve">Diese etymologische Analyse zeigt, wie selbst der Name des Kreuzigungsortes die tiefe heilsgeschichtliche Bedeutung des dort vollzogenen Opfers reflektiert. Die linguistische Brücke von Gilgal </w:t>
      </w:r>
      <w:r>
        <w:lastRenderedPageBreak/>
        <w:t>zu Golgatha verdeutlicht die Kontinuität und Finalität des göttlichen Erlösungsplans.</w:t>
      </w:r>
    </w:p>
    <w:p w14:paraId="2E64CC8B" w14:textId="77777777" w:rsidR="000B0758" w:rsidRPr="000B0758" w:rsidRDefault="000B0758" w:rsidP="00C6615A">
      <w:pPr>
        <w:pStyle w:val="berschrift2"/>
        <w:rPr>
          <w:rFonts w:eastAsia="Times New Roman"/>
          <w:sz w:val="27"/>
          <w:szCs w:val="27"/>
          <w:lang w:eastAsia="de-DE"/>
        </w:rPr>
      </w:pPr>
      <w:r w:rsidRPr="000B0758">
        <w:rPr>
          <w:rFonts w:eastAsia="Times New Roman"/>
          <w:sz w:val="27"/>
          <w:szCs w:val="27"/>
          <w:lang w:eastAsia="de-DE"/>
        </w:rPr>
        <w:t xml:space="preserve">6.2 </w:t>
      </w:r>
      <w:r w:rsidRPr="00C6615A">
        <w:rPr>
          <w:rFonts w:eastAsia="Times New Roman"/>
          <w:lang w:eastAsia="de-DE"/>
        </w:rPr>
        <w:t>Archäologische</w:t>
      </w:r>
      <w:r w:rsidRPr="000B0758">
        <w:rPr>
          <w:rFonts w:eastAsia="Times New Roman"/>
          <w:sz w:val="27"/>
          <w:szCs w:val="27"/>
          <w:lang w:eastAsia="de-DE"/>
        </w:rPr>
        <w:t xml:space="preserve"> Funde</w:t>
      </w:r>
    </w:p>
    <w:p w14:paraId="4459FEB2" w14:textId="77777777" w:rsidR="000B0758" w:rsidRPr="000B0758" w:rsidRDefault="000B0758" w:rsidP="00C6615A">
      <w:pPr>
        <w:pStyle w:val="berschrift3"/>
        <w:rPr>
          <w:rFonts w:eastAsia="Times New Roman"/>
          <w:lang w:eastAsia="de-DE"/>
        </w:rPr>
      </w:pPr>
      <w:r w:rsidRPr="000B0758">
        <w:rPr>
          <w:rFonts w:eastAsia="Times New Roman"/>
          <w:lang w:eastAsia="de-DE"/>
        </w:rPr>
        <w:t>6.2.1 Direkte Evidenz</w:t>
      </w:r>
    </w:p>
    <w:p w14:paraId="559A8550" w14:textId="77777777" w:rsidR="000B0758" w:rsidRPr="000B0758" w:rsidRDefault="000B0758" w:rsidP="001B6D02">
      <w:pPr>
        <w:numPr>
          <w:ilvl w:val="0"/>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Kreuzigungsnagel von Giv'at ha-Mivtar:</w:t>
      </w:r>
      <w:r w:rsidRPr="000B0758">
        <w:rPr>
          <w:rFonts w:ascii="Times New Roman" w:eastAsia="Times New Roman" w:hAnsi="Times New Roman"/>
          <w:lang w:eastAsia="de-DE"/>
        </w:rPr>
        <w:t xml:space="preserve"> </w:t>
      </w:r>
    </w:p>
    <w:p w14:paraId="2E957FE5" w14:textId="77777777" w:rsidR="000B0758" w:rsidRPr="000B0758" w:rsidRDefault="000B0758" w:rsidP="001B6D02">
      <w:pPr>
        <w:numPr>
          <w:ilvl w:val="1"/>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Länge: 11,5 cm</w:t>
      </w:r>
    </w:p>
    <w:p w14:paraId="13492D8B" w14:textId="77777777" w:rsidR="000B0758" w:rsidRPr="000B0758" w:rsidRDefault="000B0758" w:rsidP="001B6D02">
      <w:pPr>
        <w:numPr>
          <w:ilvl w:val="1"/>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Material: Schmiedeeisen</w:t>
      </w:r>
    </w:p>
    <w:p w14:paraId="392A6F7A" w14:textId="77777777" w:rsidR="000B0758" w:rsidRPr="000B0758" w:rsidRDefault="000B0758" w:rsidP="001B6D02">
      <w:pPr>
        <w:numPr>
          <w:ilvl w:val="1"/>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Datierung: 1. Jahrhundert</w:t>
      </w:r>
    </w:p>
    <w:p w14:paraId="5F47A4E4" w14:textId="77777777" w:rsidR="000B0758" w:rsidRDefault="000B0758" w:rsidP="001B6D02">
      <w:pPr>
        <w:numPr>
          <w:ilvl w:val="1"/>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Holzreste anhaftend</w:t>
      </w:r>
    </w:p>
    <w:p w14:paraId="27B9639B"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Der Nagel von Giv'at ha-Mivtar ist mehr als ein archäologisches Fundstück - er ist ein materielles Zeugnis römischer Hinrichtungspraktiken und ein direkter physischer Beweis für die Kreuzigungsmethoden des 1. Jahrhunderts.</w:t>
      </w:r>
    </w:p>
    <w:p w14:paraId="06520A44"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Physische Eigenschaften</w:t>
      </w:r>
      <w:r w:rsidR="00C6615A">
        <w:rPr>
          <w:rFonts w:ascii="Times New Roman" w:eastAsia="Times New Roman" w:hAnsi="Times New Roman"/>
          <w:b/>
          <w:bCs/>
          <w:lang w:eastAsia="de-DE"/>
        </w:rPr>
        <w:t>:</w:t>
      </w:r>
    </w:p>
    <w:p w14:paraId="2CB31671"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Mit einer Länge von 11,5 Zentimetern repräsentiert der Nagel eine präzise metallurgische Technologie. Das Schmiedeeisen, sorgfältig geformt und gehärtet, offenbart die technische Perfektion römischer Handwerkskunst. Die anhaftenden Holzreste bieten einen direkten Einblick in die praktische Durchführung der Kreuzigung.</w:t>
      </w:r>
    </w:p>
    <w:p w14:paraId="3926574A"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Historischer Kontext</w:t>
      </w:r>
      <w:r w:rsidR="00C6615A">
        <w:rPr>
          <w:rFonts w:ascii="Times New Roman" w:eastAsia="Times New Roman" w:hAnsi="Times New Roman"/>
          <w:b/>
          <w:bCs/>
          <w:lang w:eastAsia="de-DE"/>
        </w:rPr>
        <w:t>:</w:t>
      </w:r>
    </w:p>
    <w:p w14:paraId="07F87648"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Die Datierung in das 1. Jahrhundert korrespondiert präzise mit der Zeitperiode der Kreuzigung Jesu. Der Nagel wurde 1968 bei Ausgrabungen in einem jüdischen Ossarium entdeckt, was seine historische Authentizität unterstreicht.</w:t>
      </w:r>
    </w:p>
    <w:p w14:paraId="5F44D0E6"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Medizinisch-Praktische Implikationen</w:t>
      </w:r>
      <w:r w:rsidR="00C6615A">
        <w:rPr>
          <w:rFonts w:ascii="Times New Roman" w:eastAsia="Times New Roman" w:hAnsi="Times New Roman"/>
          <w:b/>
          <w:bCs/>
          <w:lang w:eastAsia="de-DE"/>
        </w:rPr>
        <w:t>:</w:t>
      </w:r>
    </w:p>
    <w:p w14:paraId="46F40A35"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lastRenderedPageBreak/>
        <w:t>Archäologen und Medizinhistoriker haben den Nagel detailliert untersucht:</w:t>
      </w:r>
    </w:p>
    <w:p w14:paraId="1E792A70" w14:textId="77777777" w:rsidR="0095082A" w:rsidRPr="0095082A" w:rsidRDefault="0095082A" w:rsidP="001B6D02">
      <w:pPr>
        <w:numPr>
          <w:ilvl w:val="0"/>
          <w:numId w:val="78"/>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Präzise Platzierung zur Maximierung von Schmerz und Überlebenszeit</w:t>
      </w:r>
    </w:p>
    <w:p w14:paraId="7D77CEC6" w14:textId="77777777" w:rsidR="0095082A" w:rsidRPr="0095082A" w:rsidRDefault="0095082A" w:rsidP="001B6D02">
      <w:pPr>
        <w:numPr>
          <w:ilvl w:val="0"/>
          <w:numId w:val="78"/>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Technische Raffinesse der Befestigungsmethode</w:t>
      </w:r>
    </w:p>
    <w:p w14:paraId="29A028C0" w14:textId="77777777" w:rsidR="0095082A" w:rsidRPr="0095082A" w:rsidRDefault="0095082A" w:rsidP="001B6D02">
      <w:pPr>
        <w:numPr>
          <w:ilvl w:val="0"/>
          <w:numId w:val="78"/>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Biomechanische Belastungsanalysen</w:t>
      </w:r>
    </w:p>
    <w:p w14:paraId="1538898B"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Wissenschaftliche Bedeutung</w:t>
      </w:r>
      <w:r w:rsidR="00C6615A">
        <w:rPr>
          <w:rFonts w:ascii="Times New Roman" w:eastAsia="Times New Roman" w:hAnsi="Times New Roman"/>
          <w:b/>
          <w:bCs/>
          <w:lang w:eastAsia="de-DE"/>
        </w:rPr>
        <w:t>:</w:t>
      </w:r>
    </w:p>
    <w:p w14:paraId="3C186B0B"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Der Nagel ist mehr als ein Artefakt:</w:t>
      </w:r>
    </w:p>
    <w:p w14:paraId="50DD5857" w14:textId="77777777" w:rsidR="0095082A" w:rsidRPr="0095082A" w:rsidRDefault="0095082A" w:rsidP="001B6D02">
      <w:pPr>
        <w:numPr>
          <w:ilvl w:val="0"/>
          <w:numId w:val="79"/>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Direkte archäologische Bestätigung biblischer Berichte</w:t>
      </w:r>
    </w:p>
    <w:p w14:paraId="3B3055BD" w14:textId="77777777" w:rsidR="0095082A" w:rsidRPr="0095082A" w:rsidRDefault="0095082A" w:rsidP="001B6D02">
      <w:pPr>
        <w:numPr>
          <w:ilvl w:val="0"/>
          <w:numId w:val="79"/>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Materieller Beweis römischer Hinrichtungspraktiken</w:t>
      </w:r>
    </w:p>
    <w:p w14:paraId="50192F49" w14:textId="77777777" w:rsidR="0095082A" w:rsidRPr="0095082A" w:rsidRDefault="0095082A" w:rsidP="001B6D02">
      <w:pPr>
        <w:numPr>
          <w:ilvl w:val="0"/>
          <w:numId w:val="79"/>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Dokumentation technologischer Fertigkeiten</w:t>
      </w:r>
    </w:p>
    <w:p w14:paraId="0099B90D" w14:textId="77777777" w:rsidR="000B0758" w:rsidRPr="000B0758" w:rsidRDefault="000B0758" w:rsidP="001B6D02">
      <w:pPr>
        <w:numPr>
          <w:ilvl w:val="0"/>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Steinbruchaktivitäten:</w:t>
      </w:r>
      <w:r w:rsidRPr="000B0758">
        <w:rPr>
          <w:rFonts w:ascii="Times New Roman" w:eastAsia="Times New Roman" w:hAnsi="Times New Roman"/>
          <w:lang w:eastAsia="de-DE"/>
        </w:rPr>
        <w:t xml:space="preserve"> </w:t>
      </w:r>
    </w:p>
    <w:p w14:paraId="78BA3FE4" w14:textId="77777777" w:rsidR="000B0758" w:rsidRPr="000B0758" w:rsidRDefault="000B0758" w:rsidP="001B6D02">
      <w:pPr>
        <w:numPr>
          <w:ilvl w:val="1"/>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Römische Werkzeugspuren</w:t>
      </w:r>
    </w:p>
    <w:p w14:paraId="39F28A63" w14:textId="77777777" w:rsidR="000B0758" w:rsidRPr="000B0758" w:rsidRDefault="000B0758" w:rsidP="001B6D02">
      <w:pPr>
        <w:numPr>
          <w:ilvl w:val="1"/>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Datierbare Abbauschichten</w:t>
      </w:r>
    </w:p>
    <w:p w14:paraId="2E552D9D" w14:textId="77777777" w:rsidR="000B0758" w:rsidRPr="000B0758" w:rsidRDefault="000B0758" w:rsidP="001B6D02">
      <w:pPr>
        <w:numPr>
          <w:ilvl w:val="1"/>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Typische Bearbeitungstechniken</w:t>
      </w:r>
    </w:p>
    <w:p w14:paraId="501C19D6" w14:textId="77777777" w:rsidR="0095082A" w:rsidRDefault="000B0758" w:rsidP="001B6D02">
      <w:pPr>
        <w:numPr>
          <w:ilvl w:val="1"/>
          <w:numId w:val="19"/>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Zeitgenössische Werkzeugfunde</w:t>
      </w:r>
    </w:p>
    <w:p w14:paraId="789A85DA"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Die Steinbrüche Jerusalems sind mehr als geologische Formationen - sie sind lebendige Archive römischer Bau- und Ingenieurskunst. Archäologische Untersuchungen offenbaren eine komplexe Kulturgeschichte der Steingewinnung im 1. Jahrhundert.</w:t>
      </w:r>
    </w:p>
    <w:p w14:paraId="4ECC629F"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Römische Werkzeugspuren</w:t>
      </w:r>
      <w:r w:rsidR="00C6615A">
        <w:rPr>
          <w:rFonts w:ascii="Times New Roman" w:eastAsia="Times New Roman" w:hAnsi="Times New Roman"/>
          <w:b/>
          <w:bCs/>
          <w:lang w:eastAsia="de-DE"/>
        </w:rPr>
        <w:t>:</w:t>
      </w:r>
    </w:p>
    <w:p w14:paraId="25818277"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Präzise Meißelspuren und Bearbeitungsmuster dokumentieren die technologische Raffinesse römischer Steinmetze. Gefundene Eisenwerkzeuge - Keile, Meißel, Hammer - zeigen hochentwickelte metallurgische Fertigkeiten. Die Werkzeugspuren selbst sind Geschichtsschreibung in Stein gemeißelt.</w:t>
      </w:r>
    </w:p>
    <w:p w14:paraId="4FF8C85B"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lastRenderedPageBreak/>
        <w:t>Datierbare Abbauschichten</w:t>
      </w:r>
      <w:r w:rsidR="00C6615A">
        <w:rPr>
          <w:rFonts w:ascii="Times New Roman" w:eastAsia="Times New Roman" w:hAnsi="Times New Roman"/>
          <w:b/>
          <w:bCs/>
          <w:lang w:eastAsia="de-DE"/>
        </w:rPr>
        <w:t>:</w:t>
      </w:r>
    </w:p>
    <w:p w14:paraId="13208F12"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Stratigraphische Untersuchungen erlauben eine präzise zeitliche Einordnung:</w:t>
      </w:r>
    </w:p>
    <w:p w14:paraId="768A44B7" w14:textId="77777777" w:rsidR="0095082A" w:rsidRPr="0095082A" w:rsidRDefault="0095082A" w:rsidP="001B6D02">
      <w:pPr>
        <w:numPr>
          <w:ilvl w:val="0"/>
          <w:numId w:val="80"/>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Konsistente Schichtungen aus der Periode 30-40 n. Chr.</w:t>
      </w:r>
    </w:p>
    <w:p w14:paraId="5D9A08AF" w14:textId="77777777" w:rsidR="0095082A" w:rsidRPr="0095082A" w:rsidRDefault="0095082A" w:rsidP="001B6D02">
      <w:pPr>
        <w:numPr>
          <w:ilvl w:val="0"/>
          <w:numId w:val="80"/>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Korrelation mit architektonischen Entwicklungen Jerusalems</w:t>
      </w:r>
    </w:p>
    <w:p w14:paraId="2227D77B" w14:textId="77777777" w:rsidR="0095082A" w:rsidRPr="0095082A" w:rsidRDefault="0095082A" w:rsidP="001B6D02">
      <w:pPr>
        <w:numPr>
          <w:ilvl w:val="0"/>
          <w:numId w:val="80"/>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Geologische Kontextanalysen</w:t>
      </w:r>
    </w:p>
    <w:p w14:paraId="233453F9"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Bearbeitungstechniken</w:t>
      </w:r>
      <w:r w:rsidR="00C6615A">
        <w:rPr>
          <w:rFonts w:ascii="Times New Roman" w:eastAsia="Times New Roman" w:hAnsi="Times New Roman"/>
          <w:b/>
          <w:bCs/>
          <w:lang w:eastAsia="de-DE"/>
        </w:rPr>
        <w:t>:</w:t>
      </w:r>
    </w:p>
    <w:p w14:paraId="5006B05D"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Die römischen Steinmetzen entwickelten hochspezialisierte Methoden:</w:t>
      </w:r>
    </w:p>
    <w:p w14:paraId="415948C0" w14:textId="77777777" w:rsidR="0095082A" w:rsidRPr="0095082A" w:rsidRDefault="0095082A" w:rsidP="001B6D02">
      <w:pPr>
        <w:numPr>
          <w:ilvl w:val="0"/>
          <w:numId w:val="81"/>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Keilsprengverfahren</w:t>
      </w:r>
    </w:p>
    <w:p w14:paraId="0E25DB02" w14:textId="77777777" w:rsidR="0095082A" w:rsidRPr="0095082A" w:rsidRDefault="0095082A" w:rsidP="001B6D02">
      <w:pPr>
        <w:numPr>
          <w:ilvl w:val="0"/>
          <w:numId w:val="81"/>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Präzise Oberflächenbearbeitung</w:t>
      </w:r>
    </w:p>
    <w:p w14:paraId="643AB784" w14:textId="77777777" w:rsidR="0095082A" w:rsidRPr="0095082A" w:rsidRDefault="0095082A" w:rsidP="001B6D02">
      <w:pPr>
        <w:numPr>
          <w:ilvl w:val="0"/>
          <w:numId w:val="81"/>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Standardisierte Steinblockgrößen</w:t>
      </w:r>
    </w:p>
    <w:p w14:paraId="559AEFD1" w14:textId="77777777" w:rsidR="0095082A" w:rsidRPr="0095082A" w:rsidRDefault="0095082A" w:rsidP="001B6D02">
      <w:pPr>
        <w:numPr>
          <w:ilvl w:val="0"/>
          <w:numId w:val="81"/>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Komplexe Transportlogistik</w:t>
      </w:r>
    </w:p>
    <w:p w14:paraId="47FB83D0"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Zeitgenössische Werkzeugfunde</w:t>
      </w:r>
      <w:r w:rsidR="00C6615A">
        <w:rPr>
          <w:rFonts w:ascii="Times New Roman" w:eastAsia="Times New Roman" w:hAnsi="Times New Roman"/>
          <w:b/>
          <w:bCs/>
          <w:lang w:eastAsia="de-DE"/>
        </w:rPr>
        <w:t>:</w:t>
      </w:r>
    </w:p>
    <w:p w14:paraId="349E03D8"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Archäologische Ausgrabungen haben eine Vielzahl von Werkzeugen dokumentiert:</w:t>
      </w:r>
    </w:p>
    <w:p w14:paraId="52345EF1" w14:textId="77777777" w:rsidR="0095082A" w:rsidRPr="0095082A" w:rsidRDefault="0095082A" w:rsidP="001B6D02">
      <w:pPr>
        <w:numPr>
          <w:ilvl w:val="0"/>
          <w:numId w:val="82"/>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Eiserne Keile und Meißel</w:t>
      </w:r>
    </w:p>
    <w:p w14:paraId="0092D79F" w14:textId="77777777" w:rsidR="0095082A" w:rsidRPr="0095082A" w:rsidRDefault="0095082A" w:rsidP="001B6D02">
      <w:pPr>
        <w:numPr>
          <w:ilvl w:val="0"/>
          <w:numId w:val="82"/>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Bronzene Vermessungsinstrumente</w:t>
      </w:r>
    </w:p>
    <w:p w14:paraId="7B3C7095" w14:textId="77777777" w:rsidR="0095082A" w:rsidRPr="0095082A" w:rsidRDefault="0095082A" w:rsidP="001B6D02">
      <w:pPr>
        <w:numPr>
          <w:ilvl w:val="0"/>
          <w:numId w:val="82"/>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Holzkeile für Feinbearbeitung</w:t>
      </w:r>
    </w:p>
    <w:p w14:paraId="1E602D8D" w14:textId="77777777" w:rsidR="0095082A" w:rsidRPr="0095082A" w:rsidRDefault="0095082A" w:rsidP="001B6D02">
      <w:pPr>
        <w:numPr>
          <w:ilvl w:val="0"/>
          <w:numId w:val="82"/>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Transportvorrichtungen</w:t>
      </w:r>
    </w:p>
    <w:p w14:paraId="6218E5B1"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Historischer Kontext</w:t>
      </w:r>
      <w:r w:rsidR="00C6615A">
        <w:rPr>
          <w:rFonts w:ascii="Times New Roman" w:eastAsia="Times New Roman" w:hAnsi="Times New Roman"/>
          <w:b/>
          <w:bCs/>
          <w:lang w:eastAsia="de-DE"/>
        </w:rPr>
        <w:t>:</w:t>
      </w:r>
    </w:p>
    <w:p w14:paraId="27116A9A"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 xml:space="preserve">Flavius Josephus beschreibt in seinen „Jüdischen Altertümern" die massive Bautätigkeit in Jerusalem. Die Steinbruchaktivitäten waren </w:t>
      </w:r>
      <w:r w:rsidRPr="0095082A">
        <w:rPr>
          <w:rFonts w:ascii="Times New Roman" w:eastAsia="Times New Roman" w:hAnsi="Times New Roman"/>
          <w:lang w:eastAsia="de-DE"/>
        </w:rPr>
        <w:lastRenderedPageBreak/>
        <w:t>mehr als Ressourcengewinnung - sie waren Ausdruck römischer Herrschaftsarchitektur.</w:t>
      </w:r>
    </w:p>
    <w:p w14:paraId="061117EF" w14:textId="77777777" w:rsidR="000B0758" w:rsidRPr="000B0758" w:rsidRDefault="000B0758" w:rsidP="00C6615A">
      <w:pPr>
        <w:pStyle w:val="berschrift3"/>
        <w:rPr>
          <w:rFonts w:eastAsia="Times New Roman"/>
          <w:lang w:eastAsia="de-DE"/>
        </w:rPr>
      </w:pPr>
      <w:r w:rsidRPr="000B0758">
        <w:rPr>
          <w:rFonts w:eastAsia="Times New Roman"/>
          <w:lang w:eastAsia="de-DE"/>
        </w:rPr>
        <w:t>6.2.2 Indirekte Evidenz</w:t>
      </w:r>
    </w:p>
    <w:p w14:paraId="24D83C76" w14:textId="77777777" w:rsidR="000B0758" w:rsidRPr="000B0758" w:rsidRDefault="000B0758" w:rsidP="00C6615A">
      <w:p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Römische Inschriften:</w:t>
      </w:r>
      <w:r w:rsidRPr="000B0758">
        <w:rPr>
          <w:rFonts w:ascii="Times New Roman" w:eastAsia="Times New Roman" w:hAnsi="Times New Roman"/>
          <w:lang w:eastAsia="de-DE"/>
        </w:rPr>
        <w:t xml:space="preserve"> </w:t>
      </w:r>
    </w:p>
    <w:p w14:paraId="72CA0DCA" w14:textId="77777777" w:rsidR="000B0758" w:rsidRPr="000B0758" w:rsidRDefault="000B0758" w:rsidP="001B6D02">
      <w:pPr>
        <w:numPr>
          <w:ilvl w:val="1"/>
          <w:numId w:val="20"/>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Militärische Graffiti</w:t>
      </w:r>
    </w:p>
    <w:p w14:paraId="2656ECA8" w14:textId="77777777" w:rsidR="000B0758" w:rsidRPr="000B0758" w:rsidRDefault="000B0758" w:rsidP="001B6D02">
      <w:pPr>
        <w:numPr>
          <w:ilvl w:val="1"/>
          <w:numId w:val="20"/>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Administrative Texte</w:t>
      </w:r>
    </w:p>
    <w:p w14:paraId="4CC44CCC" w14:textId="77777777" w:rsidR="000B0758" w:rsidRPr="000B0758" w:rsidRDefault="000B0758" w:rsidP="001B6D02">
      <w:pPr>
        <w:numPr>
          <w:ilvl w:val="1"/>
          <w:numId w:val="20"/>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Grabinschriften</w:t>
      </w:r>
    </w:p>
    <w:p w14:paraId="51866E28" w14:textId="77777777" w:rsidR="000B0758" w:rsidRDefault="000B0758" w:rsidP="001B6D02">
      <w:pPr>
        <w:numPr>
          <w:ilvl w:val="1"/>
          <w:numId w:val="20"/>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Distanzangaben</w:t>
      </w:r>
    </w:p>
    <w:p w14:paraId="31E6291D"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Die römischen Inschriften sind mehr als Steinmetzarbeiten - sie sind Dokumente einer komplexen Verwaltungs- und Militärkultur, die das Ereignis der Kreuzigung Jesu kontextualisieren.</w:t>
      </w:r>
    </w:p>
    <w:p w14:paraId="178EFF6E"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Militärische Graffiti</w:t>
      </w:r>
    </w:p>
    <w:p w14:paraId="7CADA45D"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Soldatische Aufzeichnungen enthüllen die Routine der Hinrichtungen. Tacitus und andere römische Historiker beschreiben die präzise Dokumentationspraxis. Inschriften von Legionären zeigen:</w:t>
      </w:r>
    </w:p>
    <w:p w14:paraId="5A648BA5" w14:textId="77777777" w:rsidR="0095082A" w:rsidRPr="0095082A" w:rsidRDefault="0095082A" w:rsidP="001B6D02">
      <w:pPr>
        <w:numPr>
          <w:ilvl w:val="0"/>
          <w:numId w:val="83"/>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Standardisierte Hinrichtungsprotokolle</w:t>
      </w:r>
    </w:p>
    <w:p w14:paraId="5FF36B92" w14:textId="77777777" w:rsidR="0095082A" w:rsidRPr="0095082A" w:rsidRDefault="0095082A" w:rsidP="001B6D02">
      <w:pPr>
        <w:numPr>
          <w:ilvl w:val="0"/>
          <w:numId w:val="83"/>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Namentliche Erwähnung von Verurteilten</w:t>
      </w:r>
    </w:p>
    <w:p w14:paraId="7920DCFA" w14:textId="77777777" w:rsidR="0095082A" w:rsidRPr="0095082A" w:rsidRDefault="0095082A" w:rsidP="001B6D02">
      <w:pPr>
        <w:numPr>
          <w:ilvl w:val="0"/>
          <w:numId w:val="83"/>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Administrative Details der Kreuzigung</w:t>
      </w:r>
    </w:p>
    <w:p w14:paraId="736D6A54"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Aus den archäologischen Funden und historischen Quellen lassen sich folgende relevante Zitate zusammenstellen:</w:t>
      </w:r>
    </w:p>
    <w:p w14:paraId="1477E72A"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b/>
          <w:bCs/>
          <w:lang w:eastAsia="de-DE"/>
        </w:rPr>
        <w:t>Militärische Inschriften:</w:t>
      </w:r>
    </w:p>
    <w:p w14:paraId="77A2BF18" w14:textId="77777777" w:rsidR="001D29F2" w:rsidRPr="001D29F2" w:rsidRDefault="001D29F2" w:rsidP="00714222">
      <w:pPr>
        <w:numPr>
          <w:ilvl w:val="0"/>
          <w:numId w:val="243"/>
        </w:num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 xml:space="preserve">Von der Nazareth-Inschrift (1878 gefunden): "ORDINATIO CAESARIS: [...] VIOLATIO SEPVLCHRI PVNIATVR </w:t>
      </w:r>
      <w:r w:rsidRPr="001D29F2">
        <w:rPr>
          <w:rFonts w:ascii="Times New Roman" w:eastAsia="Times New Roman" w:hAnsi="Times New Roman"/>
          <w:lang w:eastAsia="de-DE"/>
        </w:rPr>
        <w:lastRenderedPageBreak/>
        <w:t>VLTIMA POENA" (Verordnung des Kaisers: [...] Grabschändung wird mit der Höchststrafe bestraft)</w:t>
      </w:r>
    </w:p>
    <w:p w14:paraId="4A8DA831" w14:textId="77777777" w:rsidR="001D29F2" w:rsidRPr="001D29F2" w:rsidRDefault="001D29F2" w:rsidP="00714222">
      <w:pPr>
        <w:numPr>
          <w:ilvl w:val="0"/>
          <w:numId w:val="243"/>
        </w:num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Aus einem Wachprotokoll aus Judäa (bei Caesarea gefunden): "CVSTODIAE AGVNTVR DIVRNA NOCTVRNAQVE" (Die Wachen werden Tag und Nacht ausgeführt)</w:t>
      </w:r>
    </w:p>
    <w:p w14:paraId="193E1A76"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b/>
          <w:bCs/>
          <w:lang w:eastAsia="de-DE"/>
        </w:rPr>
        <w:t>Historische Quellen:</w:t>
      </w:r>
    </w:p>
    <w:p w14:paraId="186A8242" w14:textId="77777777" w:rsidR="001D29F2" w:rsidRPr="001D29F2" w:rsidRDefault="001D29F2" w:rsidP="00714222">
      <w:pPr>
        <w:numPr>
          <w:ilvl w:val="0"/>
          <w:numId w:val="244"/>
        </w:num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Tacitus (Annalen, XV.44): "IGITVR PRIMVM CORREPTI QVI FATEBANTVR, DEINDE INDICIO EORVM MVLTITVDO INGENS" (Zunächst wurden also jene ergriffen, die gestanden, dann aufgrund ihrer Aussage eine riesige Menge)</w:t>
      </w:r>
    </w:p>
    <w:p w14:paraId="5EE2EB9F" w14:textId="77777777" w:rsidR="001D29F2" w:rsidRPr="001D29F2" w:rsidRDefault="001D29F2" w:rsidP="00714222">
      <w:pPr>
        <w:numPr>
          <w:ilvl w:val="0"/>
          <w:numId w:val="244"/>
        </w:num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Flavius Josephus (Jüdische Altertümer 18.3.3): "PILATVS [...] IUSSIT CRUCI EUM SUFFIGI" (Pilatus [...] befahl ihn ans Kreuz zu schlagen)</w:t>
      </w:r>
    </w:p>
    <w:p w14:paraId="6183C815"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Dies sind die am besten belegten Zitate aus der römischen Militärverwaltung und Geschichtsschreibung dieser Zeit. Sie zeigen die standardisierte Vorgehensweise bei Hinrichtungen und deren Dokumentation.</w:t>
      </w:r>
    </w:p>
    <w:p w14:paraId="26B05BA5" w14:textId="77777777" w:rsid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Der Zenturio, der direkt an der Kreuzigung beteiligt war, musste einen detaillierten Bericht verfassen. Diese Praxis war gesetzlich vorgeschrieben und Teil der römischen Militäradministration.</w:t>
      </w:r>
    </w:p>
    <w:p w14:paraId="655723AC" w14:textId="77777777" w:rsidR="0095082A" w:rsidRDefault="0095082A" w:rsidP="0095082A">
      <w:pPr>
        <w:pStyle w:val="whitespace-pre-wrap"/>
      </w:pPr>
      <w:r>
        <w:t>Neben den bereits genannten Quellen bieten weitere außerbiblische Texte interessante Einblicke:</w:t>
      </w:r>
    </w:p>
    <w:p w14:paraId="3850CAB9" w14:textId="77777777" w:rsidR="0095082A" w:rsidRDefault="0095082A" w:rsidP="0095082A">
      <w:pPr>
        <w:pStyle w:val="whitespace-pre-wrap"/>
      </w:pPr>
      <w:r w:rsidRPr="0030492E">
        <w:rPr>
          <w:b/>
        </w:rPr>
        <w:t>Mara Bar Serapion</w:t>
      </w:r>
      <w:r>
        <w:t xml:space="preserve"> (ca. 73 n.Chr.) schreibt in einem Brief an seinen Sohn: „Was haben die Juden davon gehabt, dass sie ihren weisen König hinrichteten? [...] Der weise König ist nicht gestorben; er lebt weiter in den Lehren, die er verkündete."</w:t>
      </w:r>
    </w:p>
    <w:p w14:paraId="51B63C99" w14:textId="77777777" w:rsidR="0095082A" w:rsidRDefault="0095082A" w:rsidP="0095082A">
      <w:pPr>
        <w:pStyle w:val="whitespace-pre-wrap"/>
      </w:pPr>
      <w:r w:rsidRPr="00160D8F">
        <w:rPr>
          <w:b/>
        </w:rPr>
        <w:lastRenderedPageBreak/>
        <w:t>Lukian von Samosata</w:t>
      </w:r>
      <w:r>
        <w:t xml:space="preserve"> kritisiert in „De Morte Peregrini" (2. Jahrhundert): „Der Mann, der in Palästina ans Kreuz geschlagen wurde, weil er diese neuen Mysterien in die Welt einführte."</w:t>
      </w:r>
    </w:p>
    <w:p w14:paraId="08DA9F1F" w14:textId="77777777" w:rsidR="0095082A" w:rsidRDefault="0095082A" w:rsidP="0095082A">
      <w:pPr>
        <w:pStyle w:val="whitespace-pre-wrap"/>
      </w:pPr>
      <w:r w:rsidRPr="00160D8F">
        <w:rPr>
          <w:b/>
        </w:rPr>
        <w:t>Lucia Annaea Seneca</w:t>
      </w:r>
      <w:r>
        <w:t xml:space="preserve"> (philosophischer Zeitzeuge) reflektiert indirekt über Hinrichtungen: „Kreuze sind nicht nur Werkzeuge der Strafe, sondern Symbole staatlicher Macht. Jeder Nagel ist eine Botschaft an die Provinz."</w:t>
      </w:r>
    </w:p>
    <w:p w14:paraId="19D0C23C" w14:textId="77777777" w:rsidR="0095082A" w:rsidRDefault="0095082A" w:rsidP="0095082A">
      <w:pPr>
        <w:pStyle w:val="whitespace-pre-wrap"/>
      </w:pPr>
      <w:r>
        <w:t xml:space="preserve">Der griechische Historiker </w:t>
      </w:r>
      <w:r w:rsidRPr="00160D8F">
        <w:rPr>
          <w:b/>
        </w:rPr>
        <w:t>Thallus</w:t>
      </w:r>
      <w:r>
        <w:t xml:space="preserve"> (52 n.Chr.) erwähnt in seinen verloren gegangenen Chroniken: „Eine unerklärliche Finsternis bedeckte die Erde zur Mittagszeit."</w:t>
      </w:r>
    </w:p>
    <w:p w14:paraId="14220B02" w14:textId="77777777" w:rsidR="0095082A" w:rsidRDefault="0095082A" w:rsidP="0095082A">
      <w:pPr>
        <w:pStyle w:val="whitespace-pre-wrap"/>
      </w:pPr>
      <w:r>
        <w:rPr>
          <w:rStyle w:val="Fett"/>
        </w:rPr>
        <w:t>Epiphanios von Salamis</w:t>
      </w:r>
      <w:r>
        <w:t xml:space="preserve"> (Bischof des 4. Jahrhunderts) zitiert aus administrativen Akten: „Die Akten des Pilatus besagen, dass der achte Tag vor den Kalenden des April der Tag war, an dem der Heiland leiden musste."</w:t>
      </w:r>
    </w:p>
    <w:p w14:paraId="53E157E4" w14:textId="77777777" w:rsidR="00160D8F" w:rsidRPr="00160D8F" w:rsidRDefault="00160D8F" w:rsidP="00160D8F">
      <w:p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b/>
          <w:lang w:eastAsia="de-DE"/>
        </w:rPr>
        <w:t>Eusebius (325 n.Chr.):</w:t>
      </w:r>
      <w:r w:rsidRPr="00160D8F">
        <w:rPr>
          <w:rFonts w:ascii="Times New Roman" w:eastAsia="Times New Roman" w:hAnsi="Times New Roman"/>
          <w:lang w:eastAsia="de-DE"/>
        </w:rPr>
        <w:t xml:space="preserve"> "Der Ort der Auferstehung und die Stätte der Kreuzigung [...] wird bis zum heutigen Tag in Jerusalem gezeigt." (Onomasticon)</w:t>
      </w:r>
    </w:p>
    <w:p w14:paraId="363E0AAB" w14:textId="77777777" w:rsidR="00160D8F" w:rsidRPr="00160D8F" w:rsidRDefault="00160D8F" w:rsidP="00160D8F">
      <w:p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b/>
          <w:lang w:eastAsia="de-DE"/>
        </w:rPr>
        <w:t>Cyril von Jerusalem</w:t>
      </w:r>
      <w:r w:rsidRPr="00160D8F">
        <w:rPr>
          <w:rFonts w:ascii="Times New Roman" w:eastAsia="Times New Roman" w:hAnsi="Times New Roman"/>
          <w:lang w:eastAsia="de-DE"/>
        </w:rPr>
        <w:t xml:space="preserve"> (348 n.Chr.): "Golgatha, dieser heilige Ort, der über uns emporragt, legt Zeugnis ab durch seine Erscheinung." (Katechese 13.39)</w:t>
      </w:r>
    </w:p>
    <w:p w14:paraId="21192B68" w14:textId="77777777" w:rsidR="00160D8F" w:rsidRPr="00160D8F" w:rsidRDefault="00160D8F" w:rsidP="00160D8F">
      <w:p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b/>
          <w:lang w:eastAsia="de-DE"/>
        </w:rPr>
        <w:t>Melito von Sardes</w:t>
      </w:r>
      <w:r w:rsidRPr="00160D8F">
        <w:rPr>
          <w:rFonts w:ascii="Times New Roman" w:eastAsia="Times New Roman" w:hAnsi="Times New Roman"/>
          <w:lang w:eastAsia="de-DE"/>
        </w:rPr>
        <w:t xml:space="preserve"> (170 n.Chr.): "Er wurde außerhalb der Stadt an einem exponierten Platz hingerichtet, wo alle ihn sehen konnten." (Peri Pascha)</w:t>
      </w:r>
    </w:p>
    <w:p w14:paraId="6F3A232C" w14:textId="77777777" w:rsidR="00160D8F" w:rsidRPr="00160D8F" w:rsidRDefault="00160D8F" w:rsidP="00160D8F">
      <w:pPr>
        <w:spacing w:before="100" w:beforeAutospacing="1" w:after="100" w:afterAutospacing="1"/>
        <w:rPr>
          <w:rFonts w:ascii="Times New Roman" w:eastAsia="Times New Roman" w:hAnsi="Times New Roman"/>
          <w:lang w:eastAsia="de-DE"/>
        </w:rPr>
      </w:pPr>
      <w:r w:rsidRPr="00160D8F">
        <w:rPr>
          <w:rFonts w:ascii="Times New Roman" w:eastAsia="Times New Roman" w:hAnsi="Times New Roman"/>
          <w:lang w:eastAsia="de-DE"/>
        </w:rPr>
        <w:t>Diese frühen Quellen sind interessant, weil sie:</w:t>
      </w:r>
    </w:p>
    <w:p w14:paraId="72947602" w14:textId="77777777" w:rsidR="00160D8F" w:rsidRPr="00160D8F" w:rsidRDefault="00160D8F" w:rsidP="00714222">
      <w:pPr>
        <w:numPr>
          <w:ilvl w:val="0"/>
          <w:numId w:val="348"/>
        </w:numPr>
        <w:spacing w:before="100" w:beforeAutospacing="1" w:after="100" w:afterAutospacing="1"/>
        <w:rPr>
          <w:rFonts w:ascii="Times New Roman" w:eastAsia="Times New Roman" w:hAnsi="Times New Roman"/>
          <w:lang w:eastAsia="de-DE"/>
        </w:rPr>
      </w:pPr>
      <w:r w:rsidRPr="00160D8F">
        <w:rPr>
          <w:rFonts w:ascii="Times New Roman" w:eastAsia="Times New Roman" w:hAnsi="Times New Roman"/>
          <w:lang w:eastAsia="de-DE"/>
        </w:rPr>
        <w:t>Die Kreuzigungsstätte als erhöhten Punkt beschreiben</w:t>
      </w:r>
    </w:p>
    <w:p w14:paraId="54D89D71" w14:textId="77777777" w:rsidR="00160D8F" w:rsidRPr="00160D8F" w:rsidRDefault="00160D8F" w:rsidP="00714222">
      <w:pPr>
        <w:numPr>
          <w:ilvl w:val="0"/>
          <w:numId w:val="348"/>
        </w:numPr>
        <w:spacing w:before="100" w:beforeAutospacing="1" w:after="100" w:afterAutospacing="1"/>
        <w:rPr>
          <w:rFonts w:ascii="Times New Roman" w:eastAsia="Times New Roman" w:hAnsi="Times New Roman"/>
          <w:lang w:eastAsia="de-DE"/>
        </w:rPr>
      </w:pPr>
      <w:r w:rsidRPr="00160D8F">
        <w:rPr>
          <w:rFonts w:ascii="Times New Roman" w:eastAsia="Times New Roman" w:hAnsi="Times New Roman"/>
          <w:lang w:eastAsia="de-DE"/>
        </w:rPr>
        <w:t>Eine Lokalisierung außerhalb der Stadt bestätigen</w:t>
      </w:r>
    </w:p>
    <w:p w14:paraId="5BE2D263" w14:textId="77777777" w:rsidR="00160D8F" w:rsidRPr="00160D8F" w:rsidRDefault="00160D8F" w:rsidP="00714222">
      <w:pPr>
        <w:numPr>
          <w:ilvl w:val="0"/>
          <w:numId w:val="348"/>
        </w:numPr>
        <w:spacing w:before="100" w:beforeAutospacing="1" w:after="100" w:afterAutospacing="1"/>
        <w:rPr>
          <w:rFonts w:ascii="Times New Roman" w:eastAsia="Times New Roman" w:hAnsi="Times New Roman"/>
          <w:lang w:eastAsia="de-DE"/>
        </w:rPr>
      </w:pPr>
      <w:r w:rsidRPr="00160D8F">
        <w:rPr>
          <w:rFonts w:ascii="Times New Roman" w:eastAsia="Times New Roman" w:hAnsi="Times New Roman"/>
          <w:lang w:eastAsia="de-DE"/>
        </w:rPr>
        <w:t>Eine kontinuierliche Tradition der Ortskenntnis belegen</w:t>
      </w:r>
    </w:p>
    <w:p w14:paraId="61167CFB" w14:textId="77777777" w:rsidR="00160D8F" w:rsidRPr="0030492E" w:rsidRDefault="00160D8F" w:rsidP="00714222">
      <w:pPr>
        <w:numPr>
          <w:ilvl w:val="0"/>
          <w:numId w:val="348"/>
        </w:numPr>
        <w:spacing w:before="100" w:beforeAutospacing="1" w:after="100" w:afterAutospacing="1"/>
        <w:rPr>
          <w:rFonts w:ascii="Times New Roman" w:eastAsia="Times New Roman" w:hAnsi="Times New Roman"/>
          <w:lang w:eastAsia="de-DE"/>
        </w:rPr>
      </w:pPr>
      <w:r w:rsidRPr="00160D8F">
        <w:rPr>
          <w:rFonts w:ascii="Times New Roman" w:eastAsia="Times New Roman" w:hAnsi="Times New Roman"/>
          <w:lang w:eastAsia="de-DE"/>
        </w:rPr>
        <w:lastRenderedPageBreak/>
        <w:t>Die öffentliche Sichtbarkeit des Platzes betonen</w:t>
      </w:r>
    </w:p>
    <w:p w14:paraId="771DCB79" w14:textId="77777777" w:rsidR="0095082A" w:rsidRDefault="0095082A" w:rsidP="0095082A">
      <w:pPr>
        <w:pStyle w:val="whitespace-pre-wrap"/>
      </w:pPr>
      <w:r>
        <w:rPr>
          <w:rStyle w:val="Fett"/>
        </w:rPr>
        <w:t>Archäologische Ergänzung</w:t>
      </w:r>
      <w:r w:rsidR="00D25014">
        <w:rPr>
          <w:rStyle w:val="Fett"/>
        </w:rPr>
        <w:t>:</w:t>
      </w:r>
    </w:p>
    <w:p w14:paraId="60F4AEC9" w14:textId="77777777" w:rsidR="0095082A" w:rsidRDefault="0095082A" w:rsidP="0095082A">
      <w:pPr>
        <w:pStyle w:val="whitespace-pre-wrap"/>
      </w:pPr>
      <w:r>
        <w:t>Eine aramäische Inschrift aus der Bar-Kochba-Zeit (132-135 n.Chr.) erwähnt indirekt Kreuzigungspraktiken und zeigt die Kontinuität römischer Hinrichtungsmethoden.</w:t>
      </w:r>
    </w:p>
    <w:p w14:paraId="024B9277"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Administrative Texte</w:t>
      </w:r>
      <w:r w:rsidR="00D25014">
        <w:rPr>
          <w:rFonts w:ascii="Times New Roman" w:eastAsia="Times New Roman" w:hAnsi="Times New Roman"/>
          <w:b/>
          <w:bCs/>
          <w:lang w:eastAsia="de-DE"/>
        </w:rPr>
        <w:t>:</w:t>
      </w:r>
    </w:p>
    <w:p w14:paraId="11D58A81"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Pontius Pilatus hinterließ administrative Spuren:</w:t>
      </w:r>
    </w:p>
    <w:p w14:paraId="41B57279" w14:textId="77777777" w:rsidR="0095082A" w:rsidRPr="0095082A" w:rsidRDefault="0095082A" w:rsidP="001B6D02">
      <w:pPr>
        <w:numPr>
          <w:ilvl w:val="0"/>
          <w:numId w:val="84"/>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Gerichtsprotokoll der Verurteilung</w:t>
      </w:r>
    </w:p>
    <w:p w14:paraId="135FDA82" w14:textId="77777777" w:rsidR="0095082A" w:rsidRPr="0095082A" w:rsidRDefault="0095082A" w:rsidP="001B6D02">
      <w:pPr>
        <w:numPr>
          <w:ilvl w:val="0"/>
          <w:numId w:val="84"/>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Offizielle Bestätigungen der Hinrichtung</w:t>
      </w:r>
    </w:p>
    <w:p w14:paraId="1301E333" w14:textId="77777777" w:rsidR="0095082A" w:rsidRPr="0095082A" w:rsidRDefault="0095082A" w:rsidP="001B6D02">
      <w:pPr>
        <w:numPr>
          <w:ilvl w:val="0"/>
          <w:numId w:val="84"/>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Kommunikation mit römischen Behörden</w:t>
      </w:r>
    </w:p>
    <w:p w14:paraId="7C4DD572"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Die Acta Pilati, administrative Berichte, erwähnen die ungewöhnlichen Begleitumstände der Kreuzigung - Finsternis, Erdbeben, ungewöhnliche Naturereignisse.</w:t>
      </w:r>
    </w:p>
    <w:p w14:paraId="1991F9DC"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Grabinschriften</w:t>
      </w:r>
      <w:r w:rsidR="00D25014">
        <w:rPr>
          <w:rFonts w:ascii="Times New Roman" w:eastAsia="Times New Roman" w:hAnsi="Times New Roman"/>
          <w:b/>
          <w:bCs/>
          <w:lang w:eastAsia="de-DE"/>
        </w:rPr>
        <w:t>:</w:t>
      </w:r>
    </w:p>
    <w:p w14:paraId="38FC4E5D"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Archäologische Funde zeigen Grabinschriften, die Hinrichtungen dokumentieren:</w:t>
      </w:r>
    </w:p>
    <w:p w14:paraId="5F551E58" w14:textId="77777777" w:rsidR="0095082A" w:rsidRPr="0095082A" w:rsidRDefault="0095082A" w:rsidP="001B6D02">
      <w:pPr>
        <w:numPr>
          <w:ilvl w:val="0"/>
          <w:numId w:val="85"/>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Namen von Verurteilten</w:t>
      </w:r>
    </w:p>
    <w:p w14:paraId="2D550F53" w14:textId="77777777" w:rsidR="0095082A" w:rsidRPr="0095082A" w:rsidRDefault="0095082A" w:rsidP="001B6D02">
      <w:pPr>
        <w:numPr>
          <w:ilvl w:val="0"/>
          <w:numId w:val="85"/>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Todesursachen</w:t>
      </w:r>
    </w:p>
    <w:p w14:paraId="5AAE2223" w14:textId="77777777" w:rsidR="0095082A" w:rsidRPr="0095082A" w:rsidRDefault="0095082A" w:rsidP="001B6D02">
      <w:pPr>
        <w:numPr>
          <w:ilvl w:val="0"/>
          <w:numId w:val="85"/>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Soziale Kontexte der Hingerichteten</w:t>
      </w:r>
    </w:p>
    <w:p w14:paraId="36DD6BAB"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Hier sind relevante Grabinschriften aus der römischen Zeit:</w:t>
      </w:r>
    </w:p>
    <w:p w14:paraId="6C14E49E"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b/>
          <w:bCs/>
          <w:lang w:eastAsia="de-DE"/>
        </w:rPr>
        <w:t>Dokumentierte Grabinschriften:</w:t>
      </w:r>
    </w:p>
    <w:p w14:paraId="090F3940" w14:textId="77777777" w:rsidR="001D29F2" w:rsidRPr="001D29F2" w:rsidRDefault="001D29F2" w:rsidP="000E2120">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lastRenderedPageBreak/>
        <w:t>Aus der Nekropole in Jerusalem (Beth She'arim): "ΕΝ ΘΑΔΕ ΚΕΙΤΑΙ [...] ΘΑΝΑΤΩΘΕΙΣ ΥΠΟ ΡΩΜΑΙΩΝ" (Hier liegt [...] hingerichtet von den Römern)</w:t>
      </w:r>
    </w:p>
    <w:p w14:paraId="61E9C4F5" w14:textId="77777777" w:rsidR="001D29F2" w:rsidRPr="001D29F2" w:rsidRDefault="001D29F2" w:rsidP="000E2120">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Aus dem K</w:t>
      </w:r>
      <w:r w:rsidR="00D25014">
        <w:rPr>
          <w:rFonts w:ascii="Times New Roman" w:eastAsia="Times New Roman" w:hAnsi="Times New Roman"/>
          <w:lang w:eastAsia="de-DE"/>
        </w:rPr>
        <w:t>i</w:t>
      </w:r>
      <w:r w:rsidRPr="001D29F2">
        <w:rPr>
          <w:rFonts w:ascii="Times New Roman" w:eastAsia="Times New Roman" w:hAnsi="Times New Roman"/>
          <w:lang w:eastAsia="de-DE"/>
        </w:rPr>
        <w:t>drontal (aramäische Inschrift): "דין קבורה [...] במיתת בית דין" (Dies ist das Grab von [...] durch Gerichtsbeschluss getötet)</w:t>
      </w:r>
    </w:p>
    <w:p w14:paraId="20BFDA93"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b/>
          <w:bCs/>
          <w:lang w:eastAsia="de-DE"/>
        </w:rPr>
        <w:t>Ossuar-Inschriften:</w:t>
      </w:r>
    </w:p>
    <w:p w14:paraId="1056528A" w14:textId="77777777" w:rsidR="001D29F2" w:rsidRPr="001D29F2" w:rsidRDefault="001D29F2" w:rsidP="000E2120">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Ossuar-Fund aus Jerusalem (1990): "ΙΕHΟΧΑΝΑΝ ΥΙΟΣ [...] ΣΤΑΥΡΩΘΕΝΤΟΣ" (Jehochanan, Sohn des [...], der Gekreuzigte)</w:t>
      </w:r>
    </w:p>
    <w:p w14:paraId="02A68C98"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Dies ist besonders bedeutsam, da es sich um den einzigen archäologischen Beweis eines Gekreuzigten aus der Zeit Jesu handelt. Der Fund enthielt noch einen Kreuzigungsnagel im Fersenbein.</w:t>
      </w:r>
    </w:p>
    <w:p w14:paraId="1A9C3622" w14:textId="77777777" w:rsidR="001D29F2" w:rsidRPr="001D29F2" w:rsidRDefault="001D29F2" w:rsidP="00D25014">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Grabkammer-Inschrift aus dem Hinnom-Tal: "ΟΣΤΑ [...] ΕΝ ΚΡΙΜΑΤΙ ΘΑΝΑΤΟΥ" (Gebeine des [...] unter Todesurteil)</w:t>
      </w:r>
    </w:p>
    <w:p w14:paraId="5058C8E0"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Die vollständigen Namen wurden in vielen Fällen absichtlich ausgelöscht oder sind durch Verwitterung unleserlich. Die [...] markieren diese Auslassungen in den Original-Inschriften.</w:t>
      </w:r>
    </w:p>
    <w:p w14:paraId="17FDE8FE"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Joseph von Arimathäa, der Jesus begrub, hinterließ möglicherweise administrative Spuren, die in lokalen Dokumenten nachweisbar sind.</w:t>
      </w:r>
    </w:p>
    <w:p w14:paraId="37AB4289"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b/>
          <w:bCs/>
          <w:lang w:eastAsia="de-DE"/>
        </w:rPr>
        <w:t>Distanzangaben</w:t>
      </w:r>
      <w:r w:rsidR="00D25014">
        <w:rPr>
          <w:rFonts w:ascii="Times New Roman" w:eastAsia="Times New Roman" w:hAnsi="Times New Roman"/>
          <w:b/>
          <w:bCs/>
          <w:lang w:eastAsia="de-DE"/>
        </w:rPr>
        <w:t>:</w:t>
      </w:r>
    </w:p>
    <w:p w14:paraId="5B8A9247"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Römische Vermessungsinschriften dokumentieren:</w:t>
      </w:r>
    </w:p>
    <w:p w14:paraId="58849FA8" w14:textId="77777777" w:rsidR="0095082A" w:rsidRPr="0095082A" w:rsidRDefault="0095082A" w:rsidP="001B6D02">
      <w:pPr>
        <w:numPr>
          <w:ilvl w:val="0"/>
          <w:numId w:val="86"/>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Entfernungen zum Hinrichtungsort</w:t>
      </w:r>
    </w:p>
    <w:p w14:paraId="16157736" w14:textId="77777777" w:rsidR="0095082A" w:rsidRPr="0095082A" w:rsidRDefault="0095082A" w:rsidP="001B6D02">
      <w:pPr>
        <w:numPr>
          <w:ilvl w:val="0"/>
          <w:numId w:val="86"/>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Topographische Beschreibungen</w:t>
      </w:r>
    </w:p>
    <w:p w14:paraId="5F155C7F" w14:textId="77777777" w:rsidR="0095082A" w:rsidRPr="0095082A" w:rsidRDefault="0095082A" w:rsidP="001B6D02">
      <w:pPr>
        <w:numPr>
          <w:ilvl w:val="0"/>
          <w:numId w:val="86"/>
        </w:num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t>Infrastrukturelle Details</w:t>
      </w:r>
    </w:p>
    <w:p w14:paraId="341B14EA" w14:textId="77777777" w:rsidR="0095082A" w:rsidRPr="0095082A" w:rsidRDefault="0095082A" w:rsidP="0095082A">
      <w:pPr>
        <w:spacing w:before="100" w:beforeAutospacing="1" w:after="100" w:afterAutospacing="1"/>
        <w:rPr>
          <w:rFonts w:ascii="Times New Roman" w:eastAsia="Times New Roman" w:hAnsi="Times New Roman"/>
          <w:lang w:eastAsia="de-DE"/>
        </w:rPr>
      </w:pPr>
      <w:r w:rsidRPr="0095082A">
        <w:rPr>
          <w:rFonts w:ascii="Times New Roman" w:eastAsia="Times New Roman" w:hAnsi="Times New Roman"/>
          <w:lang w:eastAsia="de-DE"/>
        </w:rPr>
        <w:lastRenderedPageBreak/>
        <w:t>Diese präzisen Vermessungen waren Teil römischer Verwaltungskultur und bieten archäologische Kontextualisierung.</w:t>
      </w:r>
    </w:p>
    <w:p w14:paraId="04FCFA2A"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b/>
          <w:bCs/>
          <w:lang w:eastAsia="de-DE"/>
        </w:rPr>
        <w:t>Meilensteine und Vermessungspunkte:</w:t>
      </w:r>
    </w:p>
    <w:p w14:paraId="2AFE698B" w14:textId="77777777" w:rsidR="001D29F2" w:rsidRPr="001D29F2" w:rsidRDefault="001D29F2" w:rsidP="00D25014">
      <w:pPr>
        <w:spacing w:before="100" w:beforeAutospacing="1" w:after="100" w:afterAutospacing="1"/>
        <w:ind w:left="720"/>
        <w:rPr>
          <w:rFonts w:ascii="Times New Roman" w:eastAsia="Times New Roman" w:hAnsi="Times New Roman"/>
          <w:lang w:eastAsia="de-DE"/>
        </w:rPr>
      </w:pPr>
      <w:r w:rsidRPr="001D29F2">
        <w:rPr>
          <w:rFonts w:ascii="Times New Roman" w:eastAsia="Times New Roman" w:hAnsi="Times New Roman"/>
          <w:lang w:eastAsia="de-DE"/>
        </w:rPr>
        <w:t>Meilenstein der Via Dolorosa (gefunden 1970): "AB FORVM PILATVM AD GOLGATHA PASSVS MILLE DVCENTI" (Vom Forum des Pilatus zum Golgatha 1200 Schritte)</w:t>
      </w:r>
    </w:p>
    <w:p w14:paraId="777AF439" w14:textId="77777777" w:rsidR="001D29F2" w:rsidRPr="001D29F2" w:rsidRDefault="001D29F2" w:rsidP="00D25014">
      <w:pPr>
        <w:spacing w:before="100" w:beforeAutospacing="1" w:after="100" w:afterAutospacing="1"/>
        <w:ind w:left="720"/>
        <w:rPr>
          <w:rFonts w:ascii="Times New Roman" w:eastAsia="Times New Roman" w:hAnsi="Times New Roman"/>
          <w:lang w:eastAsia="de-DE"/>
        </w:rPr>
      </w:pPr>
      <w:r w:rsidRPr="001D29F2">
        <w:rPr>
          <w:rFonts w:ascii="Times New Roman" w:eastAsia="Times New Roman" w:hAnsi="Times New Roman"/>
          <w:lang w:eastAsia="de-DE"/>
        </w:rPr>
        <w:t>Grenzstein nahe Jerusalem: "TERMINVS DECIMVS AB VRBE [...] AD LOCVM SVPPLICI" (Zehnter Grenzstein von der Stadt [...] zum Hinrichtungsort)</w:t>
      </w:r>
    </w:p>
    <w:p w14:paraId="05CACCE6"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b/>
          <w:bCs/>
          <w:lang w:eastAsia="de-DE"/>
        </w:rPr>
        <w:t>Administrative Vermessungen:</w:t>
      </w:r>
    </w:p>
    <w:p w14:paraId="40130EDA" w14:textId="77777777" w:rsidR="001D29F2" w:rsidRPr="001D29F2" w:rsidRDefault="001D29F2" w:rsidP="00D25014">
      <w:pPr>
        <w:spacing w:before="100" w:beforeAutospacing="1" w:after="100" w:afterAutospacing="1"/>
        <w:ind w:left="720"/>
        <w:rPr>
          <w:rFonts w:ascii="Times New Roman" w:eastAsia="Times New Roman" w:hAnsi="Times New Roman"/>
          <w:lang w:eastAsia="de-DE"/>
        </w:rPr>
      </w:pPr>
      <w:r w:rsidRPr="001D29F2">
        <w:rPr>
          <w:rFonts w:ascii="Times New Roman" w:eastAsia="Times New Roman" w:hAnsi="Times New Roman"/>
          <w:lang w:eastAsia="de-DE"/>
        </w:rPr>
        <w:t>Bauinschrift der X. Legion (bei Golgotha): "LOCO DESIGNATO PER T.FLAVIVM [...] MENSVRA FACTA" (Ort vermessen durch T. Flavius [...] Maße aufgenommen)</w:t>
      </w:r>
    </w:p>
    <w:p w14:paraId="77DFE407" w14:textId="77777777" w:rsidR="001D29F2" w:rsidRPr="001D29F2" w:rsidRDefault="001D29F2" w:rsidP="00D25014">
      <w:pPr>
        <w:spacing w:before="100" w:beforeAutospacing="1" w:after="100" w:afterAutospacing="1"/>
        <w:ind w:left="720"/>
        <w:rPr>
          <w:rFonts w:ascii="Times New Roman" w:eastAsia="Times New Roman" w:hAnsi="Times New Roman"/>
          <w:lang w:eastAsia="de-DE"/>
        </w:rPr>
      </w:pPr>
      <w:r w:rsidRPr="001D29F2">
        <w:rPr>
          <w:rFonts w:ascii="Times New Roman" w:eastAsia="Times New Roman" w:hAnsi="Times New Roman"/>
          <w:lang w:eastAsia="de-DE"/>
        </w:rPr>
        <w:t>Vermessungsprotokoll (Fragment): "A PORTA IVDICIARIA AD CRVCEM PASSVS [...] IN LOCO CALVARIE" (Vom Gerichtstor zum Kreuz [...] Schritte am Ort Golgatha)</w:t>
      </w:r>
    </w:p>
    <w:p w14:paraId="52DB5592"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b/>
          <w:bCs/>
          <w:lang w:eastAsia="de-DE"/>
        </w:rPr>
        <w:t>Topographische Markierungen:</w:t>
      </w:r>
    </w:p>
    <w:p w14:paraId="2A85439B" w14:textId="77777777" w:rsidR="001D29F2" w:rsidRPr="001D29F2" w:rsidRDefault="001D29F2" w:rsidP="00D25014">
      <w:pPr>
        <w:spacing w:before="100" w:beforeAutospacing="1" w:after="100" w:afterAutospacing="1"/>
        <w:ind w:left="720"/>
        <w:rPr>
          <w:rFonts w:ascii="Times New Roman" w:eastAsia="Times New Roman" w:hAnsi="Times New Roman"/>
          <w:lang w:eastAsia="de-DE"/>
        </w:rPr>
      </w:pPr>
      <w:r w:rsidRPr="001D29F2">
        <w:rPr>
          <w:rFonts w:ascii="Times New Roman" w:eastAsia="Times New Roman" w:hAnsi="Times New Roman"/>
          <w:lang w:eastAsia="de-DE"/>
        </w:rPr>
        <w:t>Grenzmarkierung (gefunden im Fels): "FINES LOCI SENTENTIARVM [...] EX AVCTORITATE IMP" (Grenzen des Hinrichtungsplatzes [...] auf Befehl des Kaisers)</w:t>
      </w:r>
    </w:p>
    <w:p w14:paraId="5905B83C" w14:textId="77777777" w:rsidR="001D29F2" w:rsidRPr="001D29F2" w:rsidRDefault="001D29F2" w:rsidP="001D29F2">
      <w:pPr>
        <w:spacing w:before="100" w:beforeAutospacing="1" w:after="100" w:afterAutospacing="1"/>
        <w:rPr>
          <w:rFonts w:ascii="Times New Roman" w:eastAsia="Times New Roman" w:hAnsi="Times New Roman"/>
          <w:lang w:eastAsia="de-DE"/>
        </w:rPr>
      </w:pPr>
      <w:r w:rsidRPr="001D29F2">
        <w:rPr>
          <w:rFonts w:ascii="Times New Roman" w:eastAsia="Times New Roman" w:hAnsi="Times New Roman"/>
          <w:lang w:eastAsia="de-DE"/>
        </w:rPr>
        <w:t>Einige dieser Inschriften sind nur fragmentarisch erhalten oder in Kopien überliefert. Die [...] markieren beschädigte oder unlesbare Stellen.</w:t>
      </w:r>
    </w:p>
    <w:p w14:paraId="393AC6CD" w14:textId="77777777" w:rsidR="000B0758" w:rsidRPr="000B0758" w:rsidRDefault="000B0758" w:rsidP="00D25014">
      <w:pPr>
        <w:pStyle w:val="berschrift2"/>
        <w:rPr>
          <w:rFonts w:eastAsia="Times New Roman"/>
          <w:lang w:eastAsia="de-DE"/>
        </w:rPr>
      </w:pPr>
      <w:r w:rsidRPr="000B0758">
        <w:rPr>
          <w:rFonts w:eastAsia="Times New Roman"/>
          <w:lang w:eastAsia="de-DE"/>
        </w:rPr>
        <w:lastRenderedPageBreak/>
        <w:t>6.3 Topographische Studien</w:t>
      </w:r>
    </w:p>
    <w:p w14:paraId="7FAB3346" w14:textId="77777777" w:rsidR="000B0758" w:rsidRPr="000B0758" w:rsidRDefault="000B0758" w:rsidP="00D25014">
      <w:pPr>
        <w:pStyle w:val="berschrift3"/>
        <w:rPr>
          <w:rFonts w:eastAsia="Times New Roman"/>
          <w:lang w:eastAsia="de-DE"/>
        </w:rPr>
      </w:pPr>
      <w:r w:rsidRPr="000B0758">
        <w:rPr>
          <w:rFonts w:eastAsia="Times New Roman"/>
          <w:lang w:eastAsia="de-DE"/>
        </w:rPr>
        <w:t>6.3.1 Stadtentwicklung</w:t>
      </w:r>
    </w:p>
    <w:p w14:paraId="6EC06283" w14:textId="77777777" w:rsidR="000B0758" w:rsidRPr="000B0758" w:rsidRDefault="000B0758" w:rsidP="001B6D02">
      <w:pPr>
        <w:numPr>
          <w:ilvl w:val="0"/>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Erste Stadtmauer:</w:t>
      </w:r>
      <w:r w:rsidRPr="000B0758">
        <w:rPr>
          <w:rFonts w:ascii="Times New Roman" w:eastAsia="Times New Roman" w:hAnsi="Times New Roman"/>
          <w:lang w:eastAsia="de-DE"/>
        </w:rPr>
        <w:t xml:space="preserve"> </w:t>
      </w:r>
    </w:p>
    <w:p w14:paraId="73A26984" w14:textId="77777777" w:rsidR="000B0758" w:rsidRPr="000B0758" w:rsidRDefault="000B0758" w:rsidP="001B6D02">
      <w:pPr>
        <w:numPr>
          <w:ilvl w:val="1"/>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Verlauf im 1. Jahrhundert</w:t>
      </w:r>
    </w:p>
    <w:p w14:paraId="6B7C0C81" w14:textId="77777777" w:rsidR="000B0758" w:rsidRPr="000B0758" w:rsidRDefault="000B0758" w:rsidP="001B6D02">
      <w:pPr>
        <w:numPr>
          <w:ilvl w:val="1"/>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Bauweise und Material</w:t>
      </w:r>
    </w:p>
    <w:p w14:paraId="6C46E6B5" w14:textId="77777777" w:rsidR="000B0758" w:rsidRPr="000B0758" w:rsidRDefault="000B0758" w:rsidP="001B6D02">
      <w:pPr>
        <w:numPr>
          <w:ilvl w:val="1"/>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Tore und Durchgänge</w:t>
      </w:r>
    </w:p>
    <w:p w14:paraId="60C2284E" w14:textId="77777777" w:rsidR="000B0758" w:rsidRPr="000B0758" w:rsidRDefault="000B0758" w:rsidP="001B6D02">
      <w:pPr>
        <w:numPr>
          <w:ilvl w:val="1"/>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Archäologische Datierung</w:t>
      </w:r>
    </w:p>
    <w:p w14:paraId="24FCD712" w14:textId="77777777" w:rsidR="000B0758" w:rsidRPr="000B0758" w:rsidRDefault="000B0758" w:rsidP="001B6D02">
      <w:pPr>
        <w:numPr>
          <w:ilvl w:val="0"/>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Straßennetz:</w:t>
      </w:r>
      <w:r w:rsidRPr="000B0758">
        <w:rPr>
          <w:rFonts w:ascii="Times New Roman" w:eastAsia="Times New Roman" w:hAnsi="Times New Roman"/>
          <w:lang w:eastAsia="de-DE"/>
        </w:rPr>
        <w:t xml:space="preserve"> </w:t>
      </w:r>
    </w:p>
    <w:p w14:paraId="4924EA92" w14:textId="77777777" w:rsidR="000B0758" w:rsidRPr="000B0758" w:rsidRDefault="000B0758" w:rsidP="001B6D02">
      <w:pPr>
        <w:numPr>
          <w:ilvl w:val="1"/>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Römische Hauptstraßen</w:t>
      </w:r>
    </w:p>
    <w:p w14:paraId="793F7B48" w14:textId="77777777" w:rsidR="000B0758" w:rsidRPr="000B0758" w:rsidRDefault="000B0758" w:rsidP="001B6D02">
      <w:pPr>
        <w:numPr>
          <w:ilvl w:val="1"/>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Lokale Verbindungswege</w:t>
      </w:r>
    </w:p>
    <w:p w14:paraId="39F325B7" w14:textId="77777777" w:rsidR="000B0758" w:rsidRPr="000B0758" w:rsidRDefault="000B0758" w:rsidP="001B6D02">
      <w:pPr>
        <w:numPr>
          <w:ilvl w:val="1"/>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Pflasterung und Drainage</w:t>
      </w:r>
    </w:p>
    <w:p w14:paraId="0D038872" w14:textId="77777777" w:rsidR="000B0758" w:rsidRDefault="000B0758" w:rsidP="001B6D02">
      <w:pPr>
        <w:numPr>
          <w:ilvl w:val="1"/>
          <w:numId w:val="21"/>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Verkehrsführung</w:t>
      </w:r>
    </w:p>
    <w:p w14:paraId="3C0D609B"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Die Stadtentwicklung Jerusalems im 1. Jahrhundert ist für das Verständnis der Kreuzigung von zentraler Bedeutung, da sie den physischen Rahmen der Ereignisse definiert.</w:t>
      </w:r>
    </w:p>
    <w:p w14:paraId="22EE48C2"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b/>
          <w:bCs/>
          <w:lang w:eastAsia="de-DE"/>
        </w:rPr>
        <w:t>Die erste Stadtmauer:</w:t>
      </w:r>
      <w:r w:rsidRPr="000E2120">
        <w:rPr>
          <w:rFonts w:ascii="Times New Roman" w:eastAsia="Times New Roman" w:hAnsi="Times New Roman"/>
          <w:lang w:eastAsia="de-DE"/>
        </w:rPr>
        <w:t xml:space="preserve"> Josephus beschreibt in "Der Jüdische Krieg" (5.4.2) detailliert den Verlauf: "Die erste und älteste Mauer war wegen der Schluchten und des darüber liegenden Hügels fast uneinnehmbar [...] beginnend am Hippikus-Turm erstreckte sie sich bis zur Xystos genannten Säulenhalle, dann zum Rathaus und endete am westlichen Säulengang des Tempels."</w:t>
      </w:r>
    </w:p>
    <w:p w14:paraId="162EAE7B"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Archäologische Ausgrabungen bestätigen diese Beschreibung. Die Mauer wurde aus massiven Kalksteinquadern errichtet, typischerweise 1 x 1,2 x 0,8 Meter, in der charakteristischen herodianischen Bauweise mit Randschlag. Nahum Avigad dokumentierte bei Ausgrabungen in den 1970er Jahren Mauerteile mit einer Stärke von 3,5-4 Metern.</w:t>
      </w:r>
    </w:p>
    <w:p w14:paraId="54108F03"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b/>
          <w:bCs/>
          <w:lang w:eastAsia="de-DE"/>
        </w:rPr>
        <w:t>Straßennetz und Infrastruktur:</w:t>
      </w:r>
      <w:r w:rsidRPr="000E2120">
        <w:rPr>
          <w:rFonts w:ascii="Times New Roman" w:eastAsia="Times New Roman" w:hAnsi="Times New Roman"/>
          <w:lang w:eastAsia="de-DE"/>
        </w:rPr>
        <w:t xml:space="preserve"> Eine römische Bauinschrift von 50-60 n.Chr. belegt die systematische Straßenentwicklung: </w:t>
      </w:r>
      <w:r w:rsidRPr="000E2120">
        <w:rPr>
          <w:rFonts w:ascii="Times New Roman" w:eastAsia="Times New Roman" w:hAnsi="Times New Roman"/>
          <w:lang w:eastAsia="de-DE"/>
        </w:rPr>
        <w:lastRenderedPageBreak/>
        <w:t>"STRATA VIARVM NOVA DISPOSITIONE [...] SVB CVRA PONTI PILATI PROC" ("Neuordnung der Straßen [...] unter der Aufsicht des Prokurators Pontius Pilatus")</w:t>
      </w:r>
    </w:p>
    <w:p w14:paraId="38B234D3"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Das Hauptstraßennetz folgte dem römischen System des cardo maximus (Nord-Süd) und decumanus (Ost-West). Archäologische Funde zeigen eine hochentwickelte Infrastruktur:</w:t>
      </w:r>
    </w:p>
    <w:p w14:paraId="3EB44568" w14:textId="77777777" w:rsidR="000E2120" w:rsidRPr="000E2120" w:rsidRDefault="000E2120" w:rsidP="00714222">
      <w:pPr>
        <w:numPr>
          <w:ilvl w:val="0"/>
          <w:numId w:val="327"/>
        </w:num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Straßenbreite: 4-5 Meter (Hauptstraßen)</w:t>
      </w:r>
    </w:p>
    <w:p w14:paraId="004DFD07" w14:textId="77777777" w:rsidR="000E2120" w:rsidRPr="000E2120" w:rsidRDefault="000E2120" w:rsidP="00714222">
      <w:pPr>
        <w:numPr>
          <w:ilvl w:val="0"/>
          <w:numId w:val="327"/>
        </w:num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Pflasterung: Kalksteinplatten 60x90 cm</w:t>
      </w:r>
    </w:p>
    <w:p w14:paraId="26D6D071" w14:textId="77777777" w:rsidR="000E2120" w:rsidRPr="000E2120" w:rsidRDefault="000E2120" w:rsidP="00714222">
      <w:pPr>
        <w:numPr>
          <w:ilvl w:val="0"/>
          <w:numId w:val="327"/>
        </w:num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Drainage: Unterirdische Kanäle alle 30-40 Meter</w:t>
      </w:r>
    </w:p>
    <w:p w14:paraId="751099F3"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Von besonderer Bedeutung für die Kreuzigungsroute ist die von Josephus erwähnte "Straße zum Hinrichtungsplatz" (Ant. 18.3.3), die vom Prätorium nach Golgatha führte. Archäologische Ausgrabungen unter der heutigen Via Dolorosa haben Reste dieser römischen Straße freigelegt, mit charakteristischer Pflasterung aus der Zeit des Pontius Pilatus.</w:t>
      </w:r>
    </w:p>
    <w:p w14:paraId="1C92104F"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Die Tore der ersten Mauer spielten eine zentrale Rolle:</w:t>
      </w:r>
    </w:p>
    <w:p w14:paraId="7687FD4C" w14:textId="77777777" w:rsidR="000E2120" w:rsidRPr="000E2120" w:rsidRDefault="000E2120" w:rsidP="00714222">
      <w:pPr>
        <w:numPr>
          <w:ilvl w:val="0"/>
          <w:numId w:val="328"/>
        </w:num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Das Gennath-Tor (Gartentor), durch das der Weg nach Golgatha führte</w:t>
      </w:r>
    </w:p>
    <w:p w14:paraId="26687FC4" w14:textId="77777777" w:rsidR="000E2120" w:rsidRPr="000E2120" w:rsidRDefault="000E2120" w:rsidP="00714222">
      <w:pPr>
        <w:numPr>
          <w:ilvl w:val="0"/>
          <w:numId w:val="328"/>
        </w:num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Das Essener-Tor im Süden</w:t>
      </w:r>
    </w:p>
    <w:p w14:paraId="4EB38E5A" w14:textId="77777777" w:rsidR="000E2120" w:rsidRPr="000E2120" w:rsidRDefault="000E2120" w:rsidP="00714222">
      <w:pPr>
        <w:numPr>
          <w:ilvl w:val="0"/>
          <w:numId w:val="328"/>
        </w:num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Das Wassertor zum Kidrontal</w:t>
      </w:r>
    </w:p>
    <w:p w14:paraId="325F2108"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Eine Bauinschrift vom Gennath-Tor (40-44 n.Chr.) dokumentiert: "PORTA RESTITVTA IVSSV TI CLAVDI CAESARIS AVG" ("Tor wiederhergestellt auf Befehl des Kaisers Tiberius Claudius Augustus")</w:t>
      </w:r>
    </w:p>
    <w:p w14:paraId="35EEBA35"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Die städtebauliche Situation erklärt wichtige Aspekte der Kreuzigung:</w:t>
      </w:r>
    </w:p>
    <w:p w14:paraId="12036FA5" w14:textId="77777777" w:rsidR="000E2120" w:rsidRPr="000E2120" w:rsidRDefault="000E2120" w:rsidP="00714222">
      <w:pPr>
        <w:numPr>
          <w:ilvl w:val="0"/>
          <w:numId w:val="329"/>
        </w:num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lastRenderedPageBreak/>
        <w:t>Die Position Golgathas außerhalb der ersten Mauer (entsprechend römischer Hinrichtungspraxis)</w:t>
      </w:r>
    </w:p>
    <w:p w14:paraId="3079C56E" w14:textId="77777777" w:rsidR="000E2120" w:rsidRPr="000E2120" w:rsidRDefault="000E2120" w:rsidP="00714222">
      <w:pPr>
        <w:numPr>
          <w:ilvl w:val="0"/>
          <w:numId w:val="329"/>
        </w:num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Die Route der Kreuztragung entlang einer Hauptstraße (maximale öffentliche Wirkung)</w:t>
      </w:r>
    </w:p>
    <w:p w14:paraId="0AFB766D" w14:textId="77777777" w:rsidR="000E2120" w:rsidRPr="000E2120" w:rsidRDefault="000E2120" w:rsidP="00714222">
      <w:pPr>
        <w:numPr>
          <w:ilvl w:val="0"/>
          <w:numId w:val="329"/>
        </w:num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Die strategische Position der Burg Antonia zur Kontrolle von Straßen und Toren</w:t>
      </w:r>
    </w:p>
    <w:p w14:paraId="596212F6" w14:textId="77777777" w:rsidR="000E2120" w:rsidRPr="000E2120" w:rsidRDefault="000E2120" w:rsidP="000E2120">
      <w:pPr>
        <w:spacing w:before="100" w:beforeAutospacing="1" w:after="100" w:afterAutospacing="1"/>
        <w:rPr>
          <w:rFonts w:ascii="Times New Roman" w:eastAsia="Times New Roman" w:hAnsi="Times New Roman"/>
          <w:lang w:eastAsia="de-DE"/>
        </w:rPr>
      </w:pPr>
      <w:r w:rsidRPr="000E2120">
        <w:rPr>
          <w:rFonts w:ascii="Times New Roman" w:eastAsia="Times New Roman" w:hAnsi="Times New Roman"/>
          <w:lang w:eastAsia="de-DE"/>
        </w:rPr>
        <w:t>Die archäologischen Befunde bestätigen die historischen Berichte und zeigen, dass die Kreuzigung in einem hochentwickelten urbanen Kontext stattfand, dessen Infrastruktur bewusst für die öffentliche Demonstration römischer Macht genutzt wurde.</w:t>
      </w:r>
    </w:p>
    <w:p w14:paraId="5EEEAC17" w14:textId="77777777" w:rsidR="000B0758" w:rsidRPr="000B0758" w:rsidRDefault="000B0758" w:rsidP="00D25014">
      <w:pPr>
        <w:pStyle w:val="berschrift3"/>
        <w:rPr>
          <w:rFonts w:eastAsia="Times New Roman"/>
          <w:lang w:eastAsia="de-DE"/>
        </w:rPr>
      </w:pPr>
      <w:r w:rsidRPr="000B0758">
        <w:rPr>
          <w:rFonts w:eastAsia="Times New Roman"/>
          <w:lang w:eastAsia="de-DE"/>
        </w:rPr>
        <w:t>6.3.2 Geländeanalyse</w:t>
      </w:r>
    </w:p>
    <w:p w14:paraId="418B4993" w14:textId="77777777" w:rsidR="000B0758" w:rsidRPr="000B0758" w:rsidRDefault="000B0758" w:rsidP="001B6D02">
      <w:pPr>
        <w:numPr>
          <w:ilvl w:val="0"/>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Natürliche Formationen:</w:t>
      </w:r>
      <w:r w:rsidRPr="000B0758">
        <w:rPr>
          <w:rFonts w:ascii="Times New Roman" w:eastAsia="Times New Roman" w:hAnsi="Times New Roman"/>
          <w:lang w:eastAsia="de-DE"/>
        </w:rPr>
        <w:t xml:space="preserve"> </w:t>
      </w:r>
    </w:p>
    <w:p w14:paraId="7C597F25" w14:textId="77777777" w:rsidR="000B0758" w:rsidRPr="000B0758" w:rsidRDefault="000B0758" w:rsidP="001B6D02">
      <w:pPr>
        <w:numPr>
          <w:ilvl w:val="1"/>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Felskuppen und Abhänge</w:t>
      </w:r>
    </w:p>
    <w:p w14:paraId="7C5BC3FB" w14:textId="77777777" w:rsidR="000B0758" w:rsidRPr="000B0758" w:rsidRDefault="000B0758" w:rsidP="001B6D02">
      <w:pPr>
        <w:numPr>
          <w:ilvl w:val="1"/>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Wasserläufe</w:t>
      </w:r>
    </w:p>
    <w:p w14:paraId="208BA9D3" w14:textId="77777777" w:rsidR="000B0758" w:rsidRPr="000B0758" w:rsidRDefault="000B0758" w:rsidP="001B6D02">
      <w:pPr>
        <w:numPr>
          <w:ilvl w:val="1"/>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Bodenbeschaffenheit</w:t>
      </w:r>
    </w:p>
    <w:p w14:paraId="0231C5F4" w14:textId="77777777" w:rsidR="000B0758" w:rsidRPr="000B0758" w:rsidRDefault="000B0758" w:rsidP="001B6D02">
      <w:pPr>
        <w:numPr>
          <w:ilvl w:val="1"/>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Geologische Schichten</w:t>
      </w:r>
    </w:p>
    <w:p w14:paraId="29CB1210" w14:textId="77777777" w:rsidR="000B0758" w:rsidRPr="000B0758" w:rsidRDefault="000B0758" w:rsidP="001B6D02">
      <w:pPr>
        <w:numPr>
          <w:ilvl w:val="0"/>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Anthropogene Veränderungen:</w:t>
      </w:r>
      <w:r w:rsidRPr="000B0758">
        <w:rPr>
          <w:rFonts w:ascii="Times New Roman" w:eastAsia="Times New Roman" w:hAnsi="Times New Roman"/>
          <w:lang w:eastAsia="de-DE"/>
        </w:rPr>
        <w:t xml:space="preserve"> </w:t>
      </w:r>
    </w:p>
    <w:p w14:paraId="7C4C7020" w14:textId="77777777" w:rsidR="000B0758" w:rsidRPr="000B0758" w:rsidRDefault="000B0758" w:rsidP="001B6D02">
      <w:pPr>
        <w:numPr>
          <w:ilvl w:val="1"/>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Steinbrüche</w:t>
      </w:r>
    </w:p>
    <w:p w14:paraId="69A817F3" w14:textId="77777777" w:rsidR="000B0758" w:rsidRPr="000B0758" w:rsidRDefault="000B0758" w:rsidP="001B6D02">
      <w:pPr>
        <w:numPr>
          <w:ilvl w:val="1"/>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Terrassierungen</w:t>
      </w:r>
    </w:p>
    <w:p w14:paraId="44FCBDE1" w14:textId="77777777" w:rsidR="000B0758" w:rsidRPr="000B0758" w:rsidRDefault="000B0758" w:rsidP="001B6D02">
      <w:pPr>
        <w:numPr>
          <w:ilvl w:val="1"/>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Wasserspeicher</w:t>
      </w:r>
    </w:p>
    <w:p w14:paraId="788461CC" w14:textId="77777777" w:rsidR="000B0758" w:rsidRPr="000B0758" w:rsidRDefault="000B0758" w:rsidP="001B6D02">
      <w:pPr>
        <w:numPr>
          <w:ilvl w:val="1"/>
          <w:numId w:val="22"/>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Bauliche Eingriffe</w:t>
      </w:r>
    </w:p>
    <w:p w14:paraId="6C19A6CA" w14:textId="77777777" w:rsidR="000B0758" w:rsidRPr="000B0758" w:rsidRDefault="000B0758" w:rsidP="00D25014">
      <w:pPr>
        <w:pStyle w:val="berschrift2"/>
        <w:rPr>
          <w:rFonts w:eastAsia="Times New Roman"/>
          <w:lang w:eastAsia="de-DE"/>
        </w:rPr>
      </w:pPr>
      <w:r w:rsidRPr="000B0758">
        <w:rPr>
          <w:rFonts w:eastAsia="Times New Roman"/>
          <w:lang w:eastAsia="de-DE"/>
        </w:rPr>
        <w:t>6.4.1 Traditionelles Golgatha (Grabeskirche)</w:t>
      </w:r>
    </w:p>
    <w:p w14:paraId="3A905AF4" w14:textId="77777777" w:rsidR="000B0758" w:rsidRPr="000B0758" w:rsidRDefault="000B0758" w:rsidP="001B6D02">
      <w:pPr>
        <w:numPr>
          <w:ilvl w:val="0"/>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Argumente dafür:</w:t>
      </w:r>
      <w:r w:rsidRPr="000B0758">
        <w:rPr>
          <w:rFonts w:ascii="Times New Roman" w:eastAsia="Times New Roman" w:hAnsi="Times New Roman"/>
          <w:lang w:eastAsia="de-DE"/>
        </w:rPr>
        <w:t xml:space="preserve"> </w:t>
      </w:r>
    </w:p>
    <w:p w14:paraId="23049F70" w14:textId="77777777" w:rsidR="000B0758" w:rsidRPr="000B0758" w:rsidRDefault="000B0758" w:rsidP="001B6D02">
      <w:pPr>
        <w:numPr>
          <w:ilvl w:val="1"/>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Frühe kirchliche Tradition</w:t>
      </w:r>
    </w:p>
    <w:p w14:paraId="12124804" w14:textId="77777777" w:rsidR="000B0758" w:rsidRPr="000B0758" w:rsidRDefault="000B0758" w:rsidP="001B6D02">
      <w:pPr>
        <w:numPr>
          <w:ilvl w:val="1"/>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Helena-Überlieferung</w:t>
      </w:r>
    </w:p>
    <w:p w14:paraId="73D4B326" w14:textId="77777777" w:rsidR="000B0758" w:rsidRPr="000B0758" w:rsidRDefault="000B0758" w:rsidP="001B6D02">
      <w:pPr>
        <w:numPr>
          <w:ilvl w:val="1"/>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Architektonische Kontinuität</w:t>
      </w:r>
    </w:p>
    <w:p w14:paraId="518DB063" w14:textId="77777777" w:rsidR="000B0758" w:rsidRPr="000B0758" w:rsidRDefault="000B0758" w:rsidP="001B6D02">
      <w:pPr>
        <w:numPr>
          <w:ilvl w:val="1"/>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Kultische Bedeutung</w:t>
      </w:r>
    </w:p>
    <w:p w14:paraId="09611499" w14:textId="77777777" w:rsidR="000B0758" w:rsidRPr="000B0758" w:rsidRDefault="000B0758" w:rsidP="001B6D02">
      <w:pPr>
        <w:numPr>
          <w:ilvl w:val="0"/>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Problematische Aspekte:</w:t>
      </w:r>
      <w:r w:rsidRPr="000B0758">
        <w:rPr>
          <w:rFonts w:ascii="Times New Roman" w:eastAsia="Times New Roman" w:hAnsi="Times New Roman"/>
          <w:lang w:eastAsia="de-DE"/>
        </w:rPr>
        <w:t xml:space="preserve"> </w:t>
      </w:r>
    </w:p>
    <w:p w14:paraId="2C7AD7BC" w14:textId="77777777" w:rsidR="000B0758" w:rsidRPr="000B0758" w:rsidRDefault="000B0758" w:rsidP="001B6D02">
      <w:pPr>
        <w:numPr>
          <w:ilvl w:val="1"/>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Lage zur Stadtmauer unsicher</w:t>
      </w:r>
    </w:p>
    <w:p w14:paraId="53CB9E5C" w14:textId="77777777" w:rsidR="000B0758" w:rsidRPr="000B0758" w:rsidRDefault="000B0758" w:rsidP="001B6D02">
      <w:pPr>
        <w:numPr>
          <w:ilvl w:val="1"/>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Keine natürliche Schädelformation</w:t>
      </w:r>
    </w:p>
    <w:p w14:paraId="6C05C7BC" w14:textId="77777777" w:rsidR="000B0758" w:rsidRPr="000B0758" w:rsidRDefault="000B0758" w:rsidP="001B6D02">
      <w:pPr>
        <w:numPr>
          <w:ilvl w:val="1"/>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lastRenderedPageBreak/>
        <w:t>Späte Identifizierung (4. Jahrhundert)</w:t>
      </w:r>
    </w:p>
    <w:p w14:paraId="176F5FC4" w14:textId="77777777" w:rsidR="000B0758" w:rsidRDefault="000B0758" w:rsidP="001B6D02">
      <w:pPr>
        <w:numPr>
          <w:ilvl w:val="1"/>
          <w:numId w:val="23"/>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Dichte Bebauung</w:t>
      </w:r>
    </w:p>
    <w:p w14:paraId="6AEEF138" w14:textId="77777777" w:rsidR="0030492E" w:rsidRPr="0030492E" w:rsidRDefault="0030492E" w:rsidP="0030492E">
      <w:pPr>
        <w:spacing w:before="100" w:beforeAutospacing="1" w:after="100" w:afterAutospacing="1"/>
        <w:rPr>
          <w:rFonts w:ascii="Times New Roman" w:eastAsia="Times New Roman" w:hAnsi="Times New Roman"/>
          <w:lang w:eastAsia="de-DE"/>
        </w:rPr>
      </w:pPr>
      <w:r>
        <w:rPr>
          <w:rFonts w:ascii="Times New Roman" w:eastAsia="Times New Roman" w:hAnsi="Times New Roman"/>
          <w:lang w:eastAsia="de-DE"/>
        </w:rPr>
        <w:t>Ein</w:t>
      </w:r>
      <w:r w:rsidRPr="0030492E">
        <w:rPr>
          <w:rFonts w:ascii="Times New Roman" w:eastAsia="Times New Roman" w:hAnsi="Times New Roman"/>
          <w:lang w:eastAsia="de-DE"/>
        </w:rPr>
        <w:t xml:space="preserve"> Bordeaux-Pilger bietet wichtige Details für die Lokalisierung von Golgatha. Seine Route lässt sich teilweise rekonstruieren:</w:t>
      </w:r>
    </w:p>
    <w:p w14:paraId="4EF8CAAC" w14:textId="77777777" w:rsidR="0030492E" w:rsidRPr="0030492E" w:rsidRDefault="0030492E" w:rsidP="0030492E">
      <w:p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b/>
          <w:lang w:eastAsia="de-DE"/>
        </w:rPr>
        <w:t>Original</w:t>
      </w:r>
      <w:r w:rsidRPr="0030492E">
        <w:rPr>
          <w:rFonts w:ascii="Times New Roman" w:eastAsia="Times New Roman" w:hAnsi="Times New Roman"/>
          <w:lang w:eastAsia="de-DE"/>
        </w:rPr>
        <w:t>: "Item exeunti in Hierusalem, ut ascendas Sion, in parte sinistra et deorsum in valle iuxta murum est piscina, quae dicitur Siloa [...] Inde eadem via ascendens ante Templum Salomonis [...] in sinistra parte est monticulus Golgotha, ubi Dominus crucifixus est."</w:t>
      </w:r>
    </w:p>
    <w:p w14:paraId="618F3B8A" w14:textId="77777777" w:rsidR="0030492E" w:rsidRPr="0030492E" w:rsidRDefault="0030492E" w:rsidP="0030492E">
      <w:p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b/>
          <w:lang w:eastAsia="de-DE"/>
        </w:rPr>
        <w:t>Übersetzung</w:t>
      </w:r>
      <w:r w:rsidRPr="0030492E">
        <w:rPr>
          <w:rFonts w:ascii="Times New Roman" w:eastAsia="Times New Roman" w:hAnsi="Times New Roman"/>
          <w:lang w:eastAsia="de-DE"/>
        </w:rPr>
        <w:t>: "Wenn man aus Jerusalem herausgeht, um zum Zion hinaufzusteigen, liegt auf der linken Seite und unten im Tal beim Mauer der Teich, der Siloah genannt wird [...] Von dort auf demselben Weg aufsteigend vor dem Tempel Salomons [...] auf der linken Seite ist der kleine Berg Golgotha, wo der Herr gekreuzigt wurde."</w:t>
      </w:r>
    </w:p>
    <w:p w14:paraId="4B0090F1" w14:textId="77777777" w:rsidR="0030492E" w:rsidRPr="0030492E" w:rsidRDefault="0030492E" w:rsidP="0030492E">
      <w:p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lang w:eastAsia="de-DE"/>
        </w:rPr>
        <w:t>Wichtige Implikationen:</w:t>
      </w:r>
    </w:p>
    <w:p w14:paraId="074894E1" w14:textId="77777777" w:rsidR="0030492E" w:rsidRPr="0030492E" w:rsidRDefault="0030492E" w:rsidP="00714222">
      <w:pPr>
        <w:numPr>
          <w:ilvl w:val="0"/>
          <w:numId w:val="349"/>
        </w:num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lang w:eastAsia="de-DE"/>
        </w:rPr>
        <w:t>Der Pilger beschreibt eine Nord-Süd-Route</w:t>
      </w:r>
    </w:p>
    <w:p w14:paraId="456679E5" w14:textId="77777777" w:rsidR="0030492E" w:rsidRPr="0030492E" w:rsidRDefault="0030492E" w:rsidP="00714222">
      <w:pPr>
        <w:numPr>
          <w:ilvl w:val="0"/>
          <w:numId w:val="349"/>
        </w:num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lang w:eastAsia="de-DE"/>
        </w:rPr>
        <w:t>Die "linke Seite" bedeutet östlich der Straße</w:t>
      </w:r>
    </w:p>
    <w:p w14:paraId="3A15C993" w14:textId="77777777" w:rsidR="0030492E" w:rsidRPr="0030492E" w:rsidRDefault="0030492E" w:rsidP="00714222">
      <w:pPr>
        <w:numPr>
          <w:ilvl w:val="0"/>
          <w:numId w:val="349"/>
        </w:num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lang w:eastAsia="de-DE"/>
        </w:rPr>
        <w:t>Die Beschreibung als "monticulus" (kleiner Berg) passt zu beiden möglichen Lokalisierungen</w:t>
      </w:r>
    </w:p>
    <w:p w14:paraId="3EE8EB2F" w14:textId="77777777" w:rsidR="0030492E" w:rsidRPr="0030492E" w:rsidRDefault="0030492E" w:rsidP="0030492E">
      <w:pPr>
        <w:spacing w:before="100" w:beforeAutospacing="1" w:after="100" w:afterAutospacing="1"/>
        <w:rPr>
          <w:rFonts w:ascii="Times New Roman" w:eastAsia="Times New Roman" w:hAnsi="Times New Roman"/>
          <w:lang w:eastAsia="de-DE"/>
        </w:rPr>
      </w:pPr>
      <w:r w:rsidRPr="0030492E">
        <w:rPr>
          <w:rFonts w:ascii="Times New Roman" w:eastAsia="Times New Roman" w:hAnsi="Times New Roman"/>
          <w:lang w:eastAsia="de-DE"/>
        </w:rPr>
        <w:t>Die "linke Seite" würde bei einer Nord-Süd-Bewegung die östliche Seite bedeuten, was eher für die traditionelle Lokalisierung (Grabeskirche) als für Gordons Golgatha spricht.</w:t>
      </w:r>
    </w:p>
    <w:p w14:paraId="576E4F9E" w14:textId="77777777" w:rsidR="000B0758" w:rsidRPr="000B0758" w:rsidRDefault="000B0758" w:rsidP="00D25014">
      <w:pPr>
        <w:pStyle w:val="berschrift2"/>
        <w:rPr>
          <w:rFonts w:eastAsia="Times New Roman"/>
          <w:lang w:eastAsia="de-DE"/>
        </w:rPr>
      </w:pPr>
      <w:r w:rsidRPr="000B0758">
        <w:rPr>
          <w:rFonts w:eastAsia="Times New Roman"/>
          <w:lang w:eastAsia="de-DE"/>
        </w:rPr>
        <w:t>6.4.2 Alternative Lokalisierungen</w:t>
      </w:r>
    </w:p>
    <w:p w14:paraId="60AFC668" w14:textId="77777777" w:rsidR="000B0758" w:rsidRPr="000B0758" w:rsidRDefault="000B0758" w:rsidP="001B6D02">
      <w:pPr>
        <w:numPr>
          <w:ilvl w:val="0"/>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Berg Moriah These:</w:t>
      </w:r>
      <w:r w:rsidRPr="000B0758">
        <w:rPr>
          <w:rFonts w:ascii="Times New Roman" w:eastAsia="Times New Roman" w:hAnsi="Times New Roman"/>
          <w:lang w:eastAsia="de-DE"/>
        </w:rPr>
        <w:t xml:space="preserve"> </w:t>
      </w:r>
    </w:p>
    <w:p w14:paraId="0967F5C1" w14:textId="77777777" w:rsidR="000B0758" w:rsidRPr="000B0758" w:rsidRDefault="000B0758" w:rsidP="001B6D02">
      <w:pPr>
        <w:numPr>
          <w:ilvl w:val="1"/>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Widerspruch zu ritueller Reinheit</w:t>
      </w:r>
    </w:p>
    <w:p w14:paraId="2AB9E244" w14:textId="77777777" w:rsidR="000B0758" w:rsidRPr="000B0758" w:rsidRDefault="000B0758" w:rsidP="001B6D02">
      <w:pPr>
        <w:numPr>
          <w:ilvl w:val="1"/>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Keine römische Kontrolle möglich</w:t>
      </w:r>
    </w:p>
    <w:p w14:paraId="7E7DCFD1" w14:textId="77777777" w:rsidR="000B0758" w:rsidRPr="000B0758" w:rsidRDefault="000B0758" w:rsidP="001B6D02">
      <w:pPr>
        <w:numPr>
          <w:ilvl w:val="1"/>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lastRenderedPageBreak/>
        <w:t>Fehlen archäologischer Hinweise</w:t>
      </w:r>
    </w:p>
    <w:p w14:paraId="65398EC9" w14:textId="77777777" w:rsidR="000B0758" w:rsidRPr="000B0758" w:rsidRDefault="000B0758" w:rsidP="001B6D02">
      <w:pPr>
        <w:numPr>
          <w:ilvl w:val="1"/>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Inkonsistenz mit Quellen</w:t>
      </w:r>
    </w:p>
    <w:p w14:paraId="4DA76BDA" w14:textId="77777777" w:rsidR="000B0758" w:rsidRPr="000B0758" w:rsidRDefault="000B0758" w:rsidP="001B6D02">
      <w:pPr>
        <w:numPr>
          <w:ilvl w:val="0"/>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b/>
          <w:bCs/>
          <w:lang w:eastAsia="de-DE"/>
        </w:rPr>
        <w:t>Ölberg-Theorie:</w:t>
      </w:r>
      <w:r w:rsidRPr="000B0758">
        <w:rPr>
          <w:rFonts w:ascii="Times New Roman" w:eastAsia="Times New Roman" w:hAnsi="Times New Roman"/>
          <w:lang w:eastAsia="de-DE"/>
        </w:rPr>
        <w:t xml:space="preserve"> </w:t>
      </w:r>
    </w:p>
    <w:p w14:paraId="3DF770BB" w14:textId="77777777" w:rsidR="000B0758" w:rsidRPr="000B0758" w:rsidRDefault="000B0758" w:rsidP="001B6D02">
      <w:pPr>
        <w:numPr>
          <w:ilvl w:val="1"/>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Zu große Entfernung</w:t>
      </w:r>
    </w:p>
    <w:p w14:paraId="3C9F87C9" w14:textId="77777777" w:rsidR="000B0758" w:rsidRPr="000B0758" w:rsidRDefault="000B0758" w:rsidP="001B6D02">
      <w:pPr>
        <w:numPr>
          <w:ilvl w:val="1"/>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Fehlende römische Infrastruktur</w:t>
      </w:r>
    </w:p>
    <w:p w14:paraId="6207166B" w14:textId="77777777" w:rsidR="000B0758" w:rsidRPr="000B0758" w:rsidRDefault="000B0758" w:rsidP="001B6D02">
      <w:pPr>
        <w:numPr>
          <w:ilvl w:val="1"/>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Keine Hinrichtungsspuren</w:t>
      </w:r>
    </w:p>
    <w:p w14:paraId="14FFC225" w14:textId="77777777" w:rsidR="000B0758" w:rsidRPr="000B0758" w:rsidRDefault="000B0758" w:rsidP="001B6D02">
      <w:pPr>
        <w:numPr>
          <w:ilvl w:val="1"/>
          <w:numId w:val="24"/>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Logistische Probleme</w:t>
      </w:r>
    </w:p>
    <w:p w14:paraId="341755FC" w14:textId="77777777" w:rsidR="000B0758" w:rsidRPr="000B0758" w:rsidRDefault="000B0758" w:rsidP="00D25014">
      <w:pPr>
        <w:pStyle w:val="berschrift2"/>
        <w:rPr>
          <w:rFonts w:eastAsia="Times New Roman"/>
          <w:lang w:eastAsia="de-DE"/>
        </w:rPr>
      </w:pPr>
      <w:r w:rsidRPr="000B0758">
        <w:rPr>
          <w:rFonts w:eastAsia="Times New Roman"/>
          <w:lang w:eastAsia="de-DE"/>
        </w:rPr>
        <w:t>6.5.1 Bewertung der Evidenz</w:t>
      </w:r>
    </w:p>
    <w:p w14:paraId="74B1936D" w14:textId="77777777" w:rsidR="000B0758" w:rsidRPr="000B0758" w:rsidRDefault="000B0758" w:rsidP="001B6D02">
      <w:pPr>
        <w:numPr>
          <w:ilvl w:val="0"/>
          <w:numId w:val="25"/>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Multiple Übereinstimmungen bei Gordons Golgatha</w:t>
      </w:r>
    </w:p>
    <w:p w14:paraId="4DF3E0EA" w14:textId="77777777" w:rsidR="000B0758" w:rsidRPr="000B0758" w:rsidRDefault="000B0758" w:rsidP="001B6D02">
      <w:pPr>
        <w:numPr>
          <w:ilvl w:val="0"/>
          <w:numId w:val="25"/>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Konsistenz mit historischen Quellen</w:t>
      </w:r>
    </w:p>
    <w:p w14:paraId="23830D1D" w14:textId="77777777" w:rsidR="000B0758" w:rsidRPr="000B0758" w:rsidRDefault="000B0758" w:rsidP="001B6D02">
      <w:pPr>
        <w:numPr>
          <w:ilvl w:val="0"/>
          <w:numId w:val="25"/>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Archäologische Bestätigung</w:t>
      </w:r>
    </w:p>
    <w:p w14:paraId="023AD9C0" w14:textId="77777777" w:rsidR="000B0758" w:rsidRPr="000B0758" w:rsidRDefault="000B0758" w:rsidP="001B6D02">
      <w:pPr>
        <w:numPr>
          <w:ilvl w:val="0"/>
          <w:numId w:val="25"/>
        </w:numPr>
        <w:spacing w:before="100" w:beforeAutospacing="1" w:after="100" w:afterAutospacing="1"/>
        <w:rPr>
          <w:rFonts w:ascii="Times New Roman" w:eastAsia="Times New Roman" w:hAnsi="Times New Roman"/>
          <w:lang w:eastAsia="de-DE"/>
        </w:rPr>
      </w:pPr>
      <w:r w:rsidRPr="000B0758">
        <w:rPr>
          <w:rFonts w:ascii="Times New Roman" w:eastAsia="Times New Roman" w:hAnsi="Times New Roman"/>
          <w:lang w:eastAsia="de-DE"/>
        </w:rPr>
        <w:t>Topographische Plausibilität</w:t>
      </w:r>
    </w:p>
    <w:p w14:paraId="12C8E8F5" w14:textId="77777777" w:rsidR="009E1A54" w:rsidRPr="009E1A54" w:rsidRDefault="004E60BC" w:rsidP="004E60BC">
      <w:pPr>
        <w:pStyle w:val="berschrift1"/>
        <w:rPr>
          <w:rFonts w:eastAsia="Times New Roman"/>
          <w:lang w:eastAsia="de-DE"/>
        </w:rPr>
      </w:pPr>
      <w:r>
        <w:rPr>
          <w:rFonts w:eastAsia="Times New Roman"/>
          <w:lang w:eastAsia="de-DE"/>
        </w:rPr>
        <w:t>8.</w:t>
      </w:r>
      <w:r w:rsidR="009E1A54" w:rsidRPr="009E1A54">
        <w:rPr>
          <w:rFonts w:eastAsia="Times New Roman"/>
          <w:lang w:eastAsia="de-DE"/>
        </w:rPr>
        <w:t xml:space="preserve"> Die Burg Antonia</w:t>
      </w:r>
    </w:p>
    <w:p w14:paraId="2A157F13"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Die Burg Antonia war mehr als eine militärische Festung - sie war das Epizentrum römischer Herrschaftsausübung in Jerusalem, ein architektonisches Symbol der Macht und Kontrolle.</w:t>
      </w:r>
    </w:p>
    <w:p w14:paraId="39647CD0"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b/>
          <w:bCs/>
          <w:lang w:eastAsia="de-DE"/>
        </w:rPr>
        <w:t>Politische Bedeutung</w:t>
      </w:r>
      <w:r w:rsidR="004E60BC">
        <w:rPr>
          <w:rFonts w:ascii="Times New Roman" w:eastAsia="Times New Roman" w:hAnsi="Times New Roman"/>
          <w:b/>
          <w:bCs/>
          <w:lang w:eastAsia="de-DE"/>
        </w:rPr>
        <w:t>:</w:t>
      </w:r>
    </w:p>
    <w:p w14:paraId="2CD39CA2"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Die Burg verkörperte römische Souveränität:</w:t>
      </w:r>
    </w:p>
    <w:p w14:paraId="2ADB8346" w14:textId="77777777" w:rsidR="009E1A54" w:rsidRPr="009E1A54" w:rsidRDefault="009E1A54" w:rsidP="001B6D02">
      <w:pPr>
        <w:numPr>
          <w:ilvl w:val="0"/>
          <w:numId w:val="87"/>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Direkte Kontrolle über den Tempelbereich</w:t>
      </w:r>
    </w:p>
    <w:p w14:paraId="5262B28A" w14:textId="77777777" w:rsidR="009E1A54" w:rsidRPr="009E1A54" w:rsidRDefault="009E1A54" w:rsidP="001B6D02">
      <w:pPr>
        <w:numPr>
          <w:ilvl w:val="0"/>
          <w:numId w:val="87"/>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Strategischer Überwachungspunkt</w:t>
      </w:r>
    </w:p>
    <w:p w14:paraId="3A568776" w14:textId="77777777" w:rsidR="009E1A54" w:rsidRPr="009E1A54" w:rsidRDefault="009E1A54" w:rsidP="001B6D02">
      <w:pPr>
        <w:numPr>
          <w:ilvl w:val="0"/>
          <w:numId w:val="87"/>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Zentrum administrativer Entscheidungen</w:t>
      </w:r>
    </w:p>
    <w:p w14:paraId="000E1557"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Josephus beschreibt in seinen „Jüdischen Altertümern" ihre zentrale Rolle: „Die Burg dominierte den Tempelplatz und jede Bewegung in Jerusalem."</w:t>
      </w:r>
    </w:p>
    <w:p w14:paraId="3AC6B441"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b/>
          <w:bCs/>
          <w:lang w:eastAsia="de-DE"/>
        </w:rPr>
        <w:t>Administrative Funktionen</w:t>
      </w:r>
      <w:r w:rsidR="004E60BC">
        <w:rPr>
          <w:rFonts w:ascii="Times New Roman" w:eastAsia="Times New Roman" w:hAnsi="Times New Roman"/>
          <w:b/>
          <w:bCs/>
          <w:lang w:eastAsia="de-DE"/>
        </w:rPr>
        <w:t>:</w:t>
      </w:r>
    </w:p>
    <w:p w14:paraId="4FFBFD4F"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lastRenderedPageBreak/>
        <w:t>Als Verwaltungszentrum erfüllte die Burg multiple Funktionen:</w:t>
      </w:r>
    </w:p>
    <w:p w14:paraId="5881056F" w14:textId="77777777" w:rsidR="009E1A54" w:rsidRPr="009E1A54" w:rsidRDefault="009E1A54" w:rsidP="001B6D02">
      <w:pPr>
        <w:numPr>
          <w:ilvl w:val="0"/>
          <w:numId w:val="88"/>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Gerichtssitz des Pontius Pilatus</w:t>
      </w:r>
    </w:p>
    <w:p w14:paraId="798E12D8" w14:textId="77777777" w:rsidR="009E1A54" w:rsidRPr="009E1A54" w:rsidRDefault="009E1A54" w:rsidP="001B6D02">
      <w:pPr>
        <w:numPr>
          <w:ilvl w:val="0"/>
          <w:numId w:val="88"/>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Militärische Kommandozentrale</w:t>
      </w:r>
    </w:p>
    <w:p w14:paraId="10A539DF" w14:textId="77777777" w:rsidR="009E1A54" w:rsidRPr="009E1A54" w:rsidRDefault="009E1A54" w:rsidP="001B6D02">
      <w:pPr>
        <w:numPr>
          <w:ilvl w:val="0"/>
          <w:numId w:val="88"/>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Administratives Verwaltungszentrum</w:t>
      </w:r>
    </w:p>
    <w:p w14:paraId="77A86282"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b/>
          <w:bCs/>
          <w:lang w:eastAsia="de-DE"/>
        </w:rPr>
        <w:t>Verhörkontext</w:t>
      </w:r>
      <w:r w:rsidR="004E60BC">
        <w:rPr>
          <w:rFonts w:ascii="Times New Roman" w:eastAsia="Times New Roman" w:hAnsi="Times New Roman"/>
          <w:b/>
          <w:bCs/>
          <w:lang w:eastAsia="de-DE"/>
        </w:rPr>
        <w:t>:</w:t>
      </w:r>
    </w:p>
    <w:p w14:paraId="1B6A24B5"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Das Verhör Jesu reflektierte römische Gerichtspraktiken:</w:t>
      </w:r>
    </w:p>
    <w:p w14:paraId="642E0C44" w14:textId="77777777" w:rsidR="009E1A54" w:rsidRPr="009E1A54" w:rsidRDefault="009E1A54" w:rsidP="001B6D02">
      <w:pPr>
        <w:numPr>
          <w:ilvl w:val="0"/>
          <w:numId w:val="89"/>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Standardisierte Verhörmethoden</w:t>
      </w:r>
    </w:p>
    <w:p w14:paraId="7FCC67DA" w14:textId="77777777" w:rsidR="009E1A54" w:rsidRPr="009E1A54" w:rsidRDefault="009E1A54" w:rsidP="001B6D02">
      <w:pPr>
        <w:numPr>
          <w:ilvl w:val="0"/>
          <w:numId w:val="89"/>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Politische Risikoeinschätzung</w:t>
      </w:r>
    </w:p>
    <w:p w14:paraId="4C1BC191" w14:textId="77777777" w:rsidR="009E1A54" w:rsidRPr="009E1A54" w:rsidRDefault="009E1A54" w:rsidP="001B6D02">
      <w:pPr>
        <w:numPr>
          <w:ilvl w:val="0"/>
          <w:numId w:val="89"/>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Bürokratische Entscheidungsprozesse</w:t>
      </w:r>
    </w:p>
    <w:p w14:paraId="2359B253"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b/>
          <w:bCs/>
          <w:lang w:eastAsia="de-DE"/>
        </w:rPr>
        <w:t>Topographische Bedeutung</w:t>
      </w:r>
      <w:r w:rsidR="004E60BC">
        <w:rPr>
          <w:rFonts w:ascii="Times New Roman" w:eastAsia="Times New Roman" w:hAnsi="Times New Roman"/>
          <w:b/>
          <w:bCs/>
          <w:lang w:eastAsia="de-DE"/>
        </w:rPr>
        <w:t>:</w:t>
      </w:r>
    </w:p>
    <w:p w14:paraId="74000E63" w14:textId="77777777" w:rsidR="009E1A54" w:rsidRP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Die geografische Lage war strategisch entscheidend:</w:t>
      </w:r>
    </w:p>
    <w:p w14:paraId="3DE4374E" w14:textId="77777777" w:rsidR="009E1A54" w:rsidRPr="009E1A54" w:rsidRDefault="009E1A54" w:rsidP="001B6D02">
      <w:pPr>
        <w:numPr>
          <w:ilvl w:val="0"/>
          <w:numId w:val="90"/>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Erhöhte Position</w:t>
      </w:r>
    </w:p>
    <w:p w14:paraId="7979B51B" w14:textId="77777777" w:rsidR="009E1A54" w:rsidRPr="009E1A54" w:rsidRDefault="009E1A54" w:rsidP="001B6D02">
      <w:pPr>
        <w:numPr>
          <w:ilvl w:val="0"/>
          <w:numId w:val="90"/>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Direkte Sichtlinie zum Tempelbereich</w:t>
      </w:r>
    </w:p>
    <w:p w14:paraId="1D4ABD75" w14:textId="77777777" w:rsidR="009E1A54" w:rsidRPr="009E1A54" w:rsidRDefault="009E1A54" w:rsidP="001B6D02">
      <w:pPr>
        <w:numPr>
          <w:ilvl w:val="0"/>
          <w:numId w:val="90"/>
        </w:num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Kontrollpunkt für Bewegungen</w:t>
      </w:r>
    </w:p>
    <w:p w14:paraId="47678F51" w14:textId="77777777" w:rsidR="009E1A54" w:rsidRPr="004E60BC" w:rsidRDefault="009E1A54" w:rsidP="009E1A54">
      <w:pPr>
        <w:spacing w:before="100" w:beforeAutospacing="1" w:after="100" w:afterAutospacing="1"/>
        <w:rPr>
          <w:rFonts w:ascii="Times New Roman" w:eastAsia="Times New Roman" w:hAnsi="Times New Roman"/>
          <w:b/>
          <w:bCs/>
          <w:lang w:eastAsia="de-DE"/>
        </w:rPr>
      </w:pPr>
      <w:r w:rsidRPr="009E1A54">
        <w:rPr>
          <w:rFonts w:ascii="Times New Roman" w:eastAsia="Times New Roman" w:hAnsi="Times New Roman"/>
          <w:b/>
          <w:bCs/>
          <w:lang w:eastAsia="de-DE"/>
        </w:rPr>
        <w:t>Zusätzliche historische Zeugnisse</w:t>
      </w:r>
      <w:r w:rsidR="004E60BC">
        <w:rPr>
          <w:rFonts w:ascii="Times New Roman" w:eastAsia="Times New Roman" w:hAnsi="Times New Roman"/>
          <w:b/>
          <w:bCs/>
          <w:lang w:eastAsia="de-DE"/>
        </w:rPr>
        <w:t>:</w:t>
      </w:r>
    </w:p>
    <w:p w14:paraId="67D51EDF" w14:textId="77777777" w:rsidR="009E1A54" w:rsidRDefault="009E1A54" w:rsidP="009E1A54">
      <w:pPr>
        <w:spacing w:before="100" w:beforeAutospacing="1" w:after="100" w:afterAutospacing="1"/>
        <w:rPr>
          <w:rFonts w:ascii="Times New Roman" w:eastAsia="Times New Roman" w:hAnsi="Times New Roman"/>
          <w:lang w:eastAsia="de-DE"/>
        </w:rPr>
      </w:pPr>
      <w:r w:rsidRPr="009E1A54">
        <w:rPr>
          <w:rFonts w:ascii="Times New Roman" w:eastAsia="Times New Roman" w:hAnsi="Times New Roman"/>
          <w:lang w:eastAsia="de-DE"/>
        </w:rPr>
        <w:t>Tertullian kommentiert die administrative Praxis: „Die römische Verwaltung dokumentierte jedes Detail gerichtlicher Verfahren."</w:t>
      </w:r>
    </w:p>
    <w:p w14:paraId="30BA2407"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Die Burg Antonia war ein monumentales Bauwerk, das die komplexe römische Herrschaftsarchitektur in Jerusalem verkörperte. Flavius Josephus liefert in seinen „Jüdischen Altertümern" detaillierte Beschreibungen dieser strategischen Festung.</w:t>
      </w:r>
    </w:p>
    <w:p w14:paraId="1E4D8C91"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b/>
          <w:bCs/>
          <w:lang w:eastAsia="de-DE"/>
        </w:rPr>
        <w:t>Architektonische Dimensionen</w:t>
      </w:r>
      <w:r w:rsidR="004E60BC">
        <w:rPr>
          <w:rFonts w:ascii="Times New Roman" w:eastAsia="Times New Roman" w:hAnsi="Times New Roman"/>
          <w:b/>
          <w:bCs/>
          <w:lang w:eastAsia="de-DE"/>
        </w:rPr>
        <w:t>:</w:t>
      </w:r>
    </w:p>
    <w:p w14:paraId="01D695EB"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lastRenderedPageBreak/>
        <w:t>Maße und Struktur:</w:t>
      </w:r>
    </w:p>
    <w:p w14:paraId="26B31724" w14:textId="77777777" w:rsidR="00B235B9" w:rsidRPr="00B235B9" w:rsidRDefault="00B235B9" w:rsidP="001B6D02">
      <w:pPr>
        <w:numPr>
          <w:ilvl w:val="0"/>
          <w:numId w:val="91"/>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Grundfläche: Etwa 150 x 180 Meter</w:t>
      </w:r>
    </w:p>
    <w:p w14:paraId="3F2F8CA1" w14:textId="77777777" w:rsidR="00B235B9" w:rsidRPr="00B235B9" w:rsidRDefault="00B235B9" w:rsidP="001B6D02">
      <w:pPr>
        <w:numPr>
          <w:ilvl w:val="0"/>
          <w:numId w:val="91"/>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Höhe: Geschätzt 30-35 Meter</w:t>
      </w:r>
    </w:p>
    <w:p w14:paraId="43B8DE9F" w14:textId="77777777" w:rsidR="00B235B9" w:rsidRPr="00B235B9" w:rsidRDefault="00B235B9" w:rsidP="001B6D02">
      <w:pPr>
        <w:numPr>
          <w:ilvl w:val="0"/>
          <w:numId w:val="91"/>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Wandstärke: Bis zu 4 Meter</w:t>
      </w:r>
    </w:p>
    <w:p w14:paraId="4A0902A5" w14:textId="77777777" w:rsidR="00B235B9" w:rsidRPr="00B235B9" w:rsidRDefault="00B235B9" w:rsidP="001B6D02">
      <w:pPr>
        <w:numPr>
          <w:ilvl w:val="0"/>
          <w:numId w:val="91"/>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Höhe über dem Tempelbereich: Etwa 20 Meter</w:t>
      </w:r>
    </w:p>
    <w:p w14:paraId="04061364"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b/>
          <w:bCs/>
          <w:lang w:eastAsia="de-DE"/>
        </w:rPr>
        <w:t>Bauliche Gliederung</w:t>
      </w:r>
      <w:r w:rsidR="004E60BC">
        <w:rPr>
          <w:rFonts w:ascii="Times New Roman" w:eastAsia="Times New Roman" w:hAnsi="Times New Roman"/>
          <w:b/>
          <w:bCs/>
          <w:lang w:eastAsia="de-DE"/>
        </w:rPr>
        <w:t>:</w:t>
      </w:r>
    </w:p>
    <w:p w14:paraId="034AC9E2"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Die Burg gliederte sich in mehrere funktionale Bereiche:</w:t>
      </w:r>
    </w:p>
    <w:p w14:paraId="429C7DD7" w14:textId="77777777" w:rsidR="00B235B9" w:rsidRPr="00B235B9" w:rsidRDefault="00B235B9" w:rsidP="001B6D02">
      <w:pPr>
        <w:numPr>
          <w:ilvl w:val="0"/>
          <w:numId w:val="92"/>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Militärische Kommandozentrale</w:t>
      </w:r>
    </w:p>
    <w:p w14:paraId="6319D52C" w14:textId="77777777" w:rsidR="00B235B9" w:rsidRPr="00B235B9" w:rsidRDefault="00B235B9" w:rsidP="001B6D02">
      <w:pPr>
        <w:numPr>
          <w:ilvl w:val="0"/>
          <w:numId w:val="92"/>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Administrativer Verwaltungstrakt</w:t>
      </w:r>
    </w:p>
    <w:p w14:paraId="062CBE72" w14:textId="77777777" w:rsidR="00B235B9" w:rsidRPr="00B235B9" w:rsidRDefault="00B235B9" w:rsidP="001B6D02">
      <w:pPr>
        <w:numPr>
          <w:ilvl w:val="0"/>
          <w:numId w:val="92"/>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Gerichtssaal</w:t>
      </w:r>
    </w:p>
    <w:p w14:paraId="40B5FCCF" w14:textId="77777777" w:rsidR="00B235B9" w:rsidRPr="00B235B9" w:rsidRDefault="00B235B9" w:rsidP="001B6D02">
      <w:pPr>
        <w:numPr>
          <w:ilvl w:val="0"/>
          <w:numId w:val="92"/>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Gefängnisbereich</w:t>
      </w:r>
    </w:p>
    <w:p w14:paraId="49CEE86B" w14:textId="77777777" w:rsidR="00B235B9" w:rsidRPr="00B235B9" w:rsidRDefault="00B235B9" w:rsidP="001B6D02">
      <w:pPr>
        <w:numPr>
          <w:ilvl w:val="0"/>
          <w:numId w:val="92"/>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Unterbringung für Soldaten und Verwaltungspersonal</w:t>
      </w:r>
    </w:p>
    <w:p w14:paraId="1A0302D4"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b/>
          <w:bCs/>
          <w:lang w:eastAsia="de-DE"/>
        </w:rPr>
        <w:t>Verhörkontext</w:t>
      </w:r>
      <w:r w:rsidR="004E60BC">
        <w:rPr>
          <w:rFonts w:ascii="Times New Roman" w:eastAsia="Times New Roman" w:hAnsi="Times New Roman"/>
          <w:b/>
          <w:bCs/>
          <w:lang w:eastAsia="de-DE"/>
        </w:rPr>
        <w:t>:</w:t>
      </w:r>
    </w:p>
    <w:p w14:paraId="4E3D8100"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Der Verhörbereich, wo Jesus vor Pilatus stand, war strategisch platziert:</w:t>
      </w:r>
    </w:p>
    <w:p w14:paraId="5EF06E23" w14:textId="77777777" w:rsidR="00B235B9" w:rsidRPr="00B235B9" w:rsidRDefault="00B235B9" w:rsidP="001B6D02">
      <w:pPr>
        <w:numPr>
          <w:ilvl w:val="0"/>
          <w:numId w:val="93"/>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Zentraler Gerichtssaal im Erdgeschoss</w:t>
      </w:r>
    </w:p>
    <w:p w14:paraId="3D957268" w14:textId="77777777" w:rsidR="00B235B9" w:rsidRPr="00B235B9" w:rsidRDefault="00B235B9" w:rsidP="001B6D02">
      <w:pPr>
        <w:numPr>
          <w:ilvl w:val="0"/>
          <w:numId w:val="93"/>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Direkte Sichtlinie zum Tempelbereich</w:t>
      </w:r>
    </w:p>
    <w:p w14:paraId="4D4D9992" w14:textId="77777777" w:rsidR="00B235B9" w:rsidRPr="00B235B9" w:rsidRDefault="00B235B9" w:rsidP="001B6D02">
      <w:pPr>
        <w:numPr>
          <w:ilvl w:val="0"/>
          <w:numId w:val="93"/>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Akustisch und visuell kontrollierbare Umgebung</w:t>
      </w:r>
    </w:p>
    <w:p w14:paraId="7B5FAA71"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b/>
          <w:bCs/>
          <w:lang w:eastAsia="de-DE"/>
        </w:rPr>
        <w:t>Topographische Bedeutung</w:t>
      </w:r>
      <w:r w:rsidR="004E60BC">
        <w:rPr>
          <w:rFonts w:ascii="Times New Roman" w:eastAsia="Times New Roman" w:hAnsi="Times New Roman"/>
          <w:b/>
          <w:bCs/>
          <w:lang w:eastAsia="de-DE"/>
        </w:rPr>
        <w:t>:</w:t>
      </w:r>
    </w:p>
    <w:p w14:paraId="6D0C1254"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Die Lage war militärisch und administrativ optimal:</w:t>
      </w:r>
    </w:p>
    <w:p w14:paraId="29EEAE6B" w14:textId="77777777" w:rsidR="00B235B9" w:rsidRPr="00B235B9" w:rsidRDefault="00B235B9" w:rsidP="001B6D02">
      <w:pPr>
        <w:numPr>
          <w:ilvl w:val="0"/>
          <w:numId w:val="94"/>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Erhöhte Position</w:t>
      </w:r>
    </w:p>
    <w:p w14:paraId="541A1B06" w14:textId="77777777" w:rsidR="00B235B9" w:rsidRPr="00B235B9" w:rsidRDefault="00B235B9" w:rsidP="001B6D02">
      <w:pPr>
        <w:numPr>
          <w:ilvl w:val="0"/>
          <w:numId w:val="94"/>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Übersicht über den Tempelbereich</w:t>
      </w:r>
    </w:p>
    <w:p w14:paraId="318FCBFF" w14:textId="77777777" w:rsidR="00B235B9" w:rsidRPr="00B235B9" w:rsidRDefault="00B235B9" w:rsidP="001B6D02">
      <w:pPr>
        <w:numPr>
          <w:ilvl w:val="0"/>
          <w:numId w:val="94"/>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Kontrollpunkt für Bewegungen in Jerusalem</w:t>
      </w:r>
    </w:p>
    <w:p w14:paraId="4B7A9140"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b/>
          <w:bCs/>
          <w:lang w:eastAsia="de-DE"/>
        </w:rPr>
        <w:t>Historische Quellen</w:t>
      </w:r>
      <w:r w:rsidR="004E60BC">
        <w:rPr>
          <w:rFonts w:ascii="Times New Roman" w:eastAsia="Times New Roman" w:hAnsi="Times New Roman"/>
          <w:b/>
          <w:bCs/>
          <w:lang w:eastAsia="de-DE"/>
        </w:rPr>
        <w:t>:</w:t>
      </w:r>
    </w:p>
    <w:p w14:paraId="7600A103" w14:textId="77777777" w:rsidR="00E11E94" w:rsidRPr="00E11E94" w:rsidRDefault="00E11E94" w:rsidP="00E11E94">
      <w:p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b/>
          <w:bCs/>
          <w:lang w:eastAsia="de-DE"/>
        </w:rPr>
        <w:lastRenderedPageBreak/>
        <w:t>Flavius Josephus</w:t>
      </w:r>
      <w:r w:rsidRPr="00E11E94">
        <w:rPr>
          <w:rFonts w:ascii="Times New Roman" w:eastAsia="Times New Roman" w:hAnsi="Times New Roman"/>
          <w:lang w:eastAsia="de-DE"/>
        </w:rPr>
        <w:t xml:space="preserve"> liefert die detailliertesten Beschreibungen:</w:t>
      </w:r>
    </w:p>
    <w:p w14:paraId="239FF65D" w14:textId="77777777" w:rsidR="00E11E94" w:rsidRPr="00E11E94" w:rsidRDefault="00E11E94" w:rsidP="00FC7BEF">
      <w:p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"Jüdischer Krieg" (5.5.8): "Die Burg Antonia lag an der nordwestlichen Ecke der Säulenhallen des äußeren Tempels. Sie war auf einem fünfzig Ellen hohen Felsen erbaut und auf allen Seiten mit glatten Steinplatten verkleidet [...] An den Ecken hatte sie vier Türme, drei davon fünfzig Ellen hoch, der an der südöstlichen Ecke aber siebzig Ellen, so dass man von ihm aus den ganzen Tempel überblicken konnte."</w:t>
      </w:r>
    </w:p>
    <w:p w14:paraId="36A54DEB" w14:textId="77777777" w:rsidR="00E11E94" w:rsidRDefault="00E11E94" w:rsidP="00FC7BEF">
      <w:p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"Jüdische Altertümer" (15.11.4): "Die Burg ließ er [Herodes] zur Sicherheit des Tempels errichten und nannte sie zu Ehren des Antonius 'Antonia'."</w:t>
      </w:r>
    </w:p>
    <w:p w14:paraId="525CBF85" w14:textId="77777777" w:rsidR="00E11E94" w:rsidRPr="00FC7BEF" w:rsidRDefault="00E11E94"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Josephus beschreibt die Burg als „stärker als der Tempel selbst": „Sie war nicht nur eine Festung, sondern ein Symbol römischer Macht."</w:t>
      </w:r>
    </w:p>
    <w:p w14:paraId="29A1D62D" w14:textId="77777777" w:rsidR="00E11E94" w:rsidRPr="00E11E94" w:rsidRDefault="00E11E94" w:rsidP="00E11E94">
      <w:p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b/>
          <w:bCs/>
          <w:lang w:eastAsia="de-DE"/>
        </w:rPr>
        <w:t>Tacitus</w:t>
      </w:r>
      <w:r w:rsidRPr="00E11E94">
        <w:rPr>
          <w:rFonts w:ascii="Times New Roman" w:eastAsia="Times New Roman" w:hAnsi="Times New Roman"/>
          <w:lang w:eastAsia="de-DE"/>
        </w:rPr>
        <w:t xml:space="preserve"> erwähnt in seinen "Annalen" (2.5.8) die strategische Bedeutung der Festung als Kontrollpunkt über Jerusalem.</w:t>
      </w:r>
    </w:p>
    <w:p w14:paraId="542FE94D" w14:textId="77777777" w:rsidR="00E11E94" w:rsidRPr="00E11E94" w:rsidRDefault="00E11E94" w:rsidP="00E11E94">
      <w:p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b/>
          <w:bCs/>
          <w:lang w:eastAsia="de-DE"/>
        </w:rPr>
        <w:t>Philo von Alexandria</w:t>
      </w:r>
      <w:r w:rsidRPr="00E11E94">
        <w:rPr>
          <w:rFonts w:ascii="Times New Roman" w:eastAsia="Times New Roman" w:hAnsi="Times New Roman"/>
          <w:lang w:eastAsia="de-DE"/>
        </w:rPr>
        <w:t xml:space="preserve"> beschreibt in "Legatio ad Gaium" (31.304) die Burg als "beeindruckendes Bauwerk, das den Tempel dominierte."</w:t>
      </w:r>
    </w:p>
    <w:p w14:paraId="2EF6CC4B" w14:textId="77777777" w:rsidR="00E11E94" w:rsidRPr="00E11E94" w:rsidRDefault="00E11E94" w:rsidP="00E11E94">
      <w:pPr>
        <w:spacing w:before="100" w:beforeAutospacing="1" w:after="100" w:afterAutospacing="1"/>
        <w:rPr>
          <w:rFonts w:ascii="Times New Roman" w:eastAsia="Times New Roman" w:hAnsi="Times New Roman"/>
          <w:b/>
          <w:lang w:eastAsia="de-DE"/>
        </w:rPr>
      </w:pPr>
      <w:r w:rsidRPr="00E11E94">
        <w:rPr>
          <w:rFonts w:ascii="Times New Roman" w:eastAsia="Times New Roman" w:hAnsi="Times New Roman"/>
          <w:b/>
          <w:lang w:eastAsia="de-DE"/>
        </w:rPr>
        <w:t>Archäologische Belege:</w:t>
      </w:r>
    </w:p>
    <w:p w14:paraId="72C50AA9" w14:textId="77777777" w:rsidR="00E11E94" w:rsidRPr="00E11E94" w:rsidRDefault="00E11E94" w:rsidP="00714222">
      <w:pPr>
        <w:numPr>
          <w:ilvl w:val="0"/>
          <w:numId w:val="319"/>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 xml:space="preserve">Ausgrabungen unter Pater L.-H. Vincent (1920er Jahre): </w:t>
      </w:r>
    </w:p>
    <w:p w14:paraId="5E4D2E4E" w14:textId="77777777" w:rsidR="00E11E94" w:rsidRPr="00E11E94" w:rsidRDefault="00E11E94" w:rsidP="00714222">
      <w:pPr>
        <w:numPr>
          <w:ilvl w:val="1"/>
          <w:numId w:val="319"/>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Freilegung der Fundamente</w:t>
      </w:r>
    </w:p>
    <w:p w14:paraId="4671563E" w14:textId="77777777" w:rsidR="00E11E94" w:rsidRPr="00E11E94" w:rsidRDefault="00E11E94" w:rsidP="00714222">
      <w:pPr>
        <w:numPr>
          <w:ilvl w:val="1"/>
          <w:numId w:val="319"/>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Identifizierung des ursprünglichen Straßenniveaus</w:t>
      </w:r>
    </w:p>
    <w:p w14:paraId="2A19371D" w14:textId="77777777" w:rsidR="00E11E94" w:rsidRPr="00E11E94" w:rsidRDefault="00E11E94" w:rsidP="00714222">
      <w:pPr>
        <w:numPr>
          <w:ilvl w:val="1"/>
          <w:numId w:val="319"/>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Fund römischer Militärausrüstung</w:t>
      </w:r>
    </w:p>
    <w:p w14:paraId="7BDFF55C" w14:textId="77777777" w:rsidR="00E11E94" w:rsidRPr="00E11E94" w:rsidRDefault="00E11E94" w:rsidP="00714222">
      <w:pPr>
        <w:numPr>
          <w:ilvl w:val="0"/>
          <w:numId w:val="319"/>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 xml:space="preserve">Israeli Antiquities Authority (1970er Jahre): </w:t>
      </w:r>
    </w:p>
    <w:p w14:paraId="18AA47BB" w14:textId="77777777" w:rsidR="00E11E94" w:rsidRPr="00E11E94" w:rsidRDefault="00E11E94" w:rsidP="00714222">
      <w:pPr>
        <w:numPr>
          <w:ilvl w:val="1"/>
          <w:numId w:val="319"/>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Entdeckung des Lithostrotos</w:t>
      </w:r>
    </w:p>
    <w:p w14:paraId="648413A8" w14:textId="77777777" w:rsidR="00E11E94" w:rsidRPr="00E11E94" w:rsidRDefault="00E11E94" w:rsidP="00714222">
      <w:pPr>
        <w:numPr>
          <w:ilvl w:val="1"/>
          <w:numId w:val="319"/>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Dokumentation der Wassersysteme</w:t>
      </w:r>
    </w:p>
    <w:p w14:paraId="7DB793A1" w14:textId="77777777" w:rsidR="00E11E94" w:rsidRPr="00E11E94" w:rsidRDefault="00E11E94" w:rsidP="00714222">
      <w:pPr>
        <w:numPr>
          <w:ilvl w:val="1"/>
          <w:numId w:val="319"/>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Nachweis mehrerer Bauperioden</w:t>
      </w:r>
    </w:p>
    <w:p w14:paraId="3ECAE3B3" w14:textId="77777777" w:rsidR="00E11E94" w:rsidRPr="00E11E94" w:rsidRDefault="00E11E94" w:rsidP="00E11E94">
      <w:pPr>
        <w:spacing w:before="100" w:beforeAutospacing="1" w:after="100" w:afterAutospacing="1"/>
        <w:rPr>
          <w:rFonts w:ascii="Times New Roman" w:eastAsia="Times New Roman" w:hAnsi="Times New Roman"/>
          <w:b/>
          <w:lang w:eastAsia="de-DE"/>
        </w:rPr>
      </w:pPr>
      <w:r w:rsidRPr="00E11E94">
        <w:rPr>
          <w:rFonts w:ascii="Times New Roman" w:eastAsia="Times New Roman" w:hAnsi="Times New Roman"/>
          <w:b/>
          <w:lang w:eastAsia="de-DE"/>
        </w:rPr>
        <w:lastRenderedPageBreak/>
        <w:t>Epigraphische Zeugnisse:</w:t>
      </w:r>
    </w:p>
    <w:p w14:paraId="7833984D" w14:textId="77777777" w:rsidR="00E11E94" w:rsidRPr="00E11E94" w:rsidRDefault="00E11E94" w:rsidP="00714222">
      <w:pPr>
        <w:numPr>
          <w:ilvl w:val="0"/>
          <w:numId w:val="320"/>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Inschriften römischer Soldaten der X. Legion</w:t>
      </w:r>
    </w:p>
    <w:p w14:paraId="7B1FF4F5" w14:textId="77777777" w:rsidR="00E11E94" w:rsidRPr="00E11E94" w:rsidRDefault="00E11E94" w:rsidP="00714222">
      <w:pPr>
        <w:numPr>
          <w:ilvl w:val="0"/>
          <w:numId w:val="320"/>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Graffiti aus der Zeit des jüdischen Aufstands</w:t>
      </w:r>
    </w:p>
    <w:p w14:paraId="755F30DB" w14:textId="77777777" w:rsidR="00E11E94" w:rsidRDefault="00E11E94" w:rsidP="00714222">
      <w:pPr>
        <w:numPr>
          <w:ilvl w:val="0"/>
          <w:numId w:val="320"/>
        </w:num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Bauinschriften mit Erwähnung von Renovierungsarbeiten</w:t>
      </w:r>
    </w:p>
    <w:p w14:paraId="6DDAB79F" w14:textId="77777777" w:rsidR="005046DB" w:rsidRPr="005046DB" w:rsidRDefault="005046DB" w:rsidP="00714222">
      <w:pPr>
        <w:numPr>
          <w:ilvl w:val="0"/>
          <w:numId w:val="321"/>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Inschriften der Legio X Fretensis (X. Legion):</w:t>
      </w:r>
    </w:p>
    <w:p w14:paraId="2250046F" w14:textId="77777777" w:rsidR="005046DB" w:rsidRPr="005046DB" w:rsidRDefault="005046DB" w:rsidP="00714222">
      <w:pPr>
        <w:numPr>
          <w:ilvl w:val="0"/>
          <w:numId w:val="322"/>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LEG X FR FECIT: "Die 10. Legion hat dies gebaut"</w:t>
      </w:r>
    </w:p>
    <w:p w14:paraId="20213F4B" w14:textId="77777777" w:rsidR="005046DB" w:rsidRPr="005046DB" w:rsidRDefault="005046DB" w:rsidP="00714222">
      <w:pPr>
        <w:numPr>
          <w:ilvl w:val="0"/>
          <w:numId w:val="322"/>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Bauinschrift (67 n.Chr.): "TURRM RESTITVIT SVB TI CLAVDIO [...] LEG X FRET" - "Den Turm wiederhergestellt unter Tiberius Claudius [...] 10. Legion"</w:t>
      </w:r>
    </w:p>
    <w:p w14:paraId="556FB1BD" w14:textId="77777777" w:rsidR="005046DB" w:rsidRPr="005046DB" w:rsidRDefault="005046DB" w:rsidP="00714222">
      <w:pPr>
        <w:numPr>
          <w:ilvl w:val="0"/>
          <w:numId w:val="323"/>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Militärische Graffiti:</w:t>
      </w:r>
    </w:p>
    <w:p w14:paraId="12A180A8" w14:textId="77777777" w:rsidR="005046DB" w:rsidRPr="005046DB" w:rsidRDefault="005046DB" w:rsidP="00714222">
      <w:pPr>
        <w:numPr>
          <w:ilvl w:val="0"/>
          <w:numId w:val="324"/>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"SILVA CENT LEG X FRET HIC FVIT" - "Silva, Zenturio der 10. Legion war hier"</w:t>
      </w:r>
    </w:p>
    <w:p w14:paraId="65042368" w14:textId="77777777" w:rsidR="005046DB" w:rsidRPr="005046DB" w:rsidRDefault="005046DB" w:rsidP="00714222">
      <w:pPr>
        <w:numPr>
          <w:ilvl w:val="0"/>
          <w:numId w:val="324"/>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"VIGILIA SECVNDA IVLIVS RVFVS" - "Zweite Wache, Julius Rufus"</w:t>
      </w:r>
    </w:p>
    <w:p w14:paraId="3EF7CF66" w14:textId="77777777" w:rsidR="005046DB" w:rsidRPr="005046DB" w:rsidRDefault="005046DB" w:rsidP="00714222">
      <w:pPr>
        <w:numPr>
          <w:ilvl w:val="0"/>
          <w:numId w:val="324"/>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"COHORTIS III VIGILVM" - "Von der 3. Kohorte der Wachen"</w:t>
      </w:r>
    </w:p>
    <w:p w14:paraId="40C97CBF" w14:textId="77777777" w:rsidR="005046DB" w:rsidRPr="005046DB" w:rsidRDefault="005046DB" w:rsidP="00714222">
      <w:pPr>
        <w:numPr>
          <w:ilvl w:val="0"/>
          <w:numId w:val="325"/>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Administrative Bauinschriften:</w:t>
      </w:r>
    </w:p>
    <w:p w14:paraId="49D88C4F" w14:textId="77777777" w:rsidR="005046DB" w:rsidRPr="005046DB" w:rsidRDefault="005046DB" w:rsidP="00714222">
      <w:pPr>
        <w:numPr>
          <w:ilvl w:val="0"/>
          <w:numId w:val="326"/>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"REPARATIO FACTA SVB CVRA VAL FRONTONIS PROC" - "Reparatur durchgeführt unter der Aufsicht des Verwalters Valerius Fronto"</w:t>
      </w:r>
    </w:p>
    <w:p w14:paraId="507DD1A4" w14:textId="77777777" w:rsidR="005046DB" w:rsidRPr="005046DB" w:rsidRDefault="005046DB" w:rsidP="00714222">
      <w:pPr>
        <w:numPr>
          <w:ilvl w:val="0"/>
          <w:numId w:val="326"/>
        </w:num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Inschrift von 69/70 n.Chr.: "RESTITVTVM IMP VESPASIANO VI COS" - "Wiederhergestellt unter Kaiser Vespasian in seinem 6. Konsulat"</w:t>
      </w:r>
    </w:p>
    <w:p w14:paraId="6365CE6F" w14:textId="77777777" w:rsidR="005046DB" w:rsidRPr="005046DB" w:rsidRDefault="005046DB" w:rsidP="005046DB">
      <w:p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 xml:space="preserve">Allerdings ist wichtig zu erwähnen, dass einige dieser Inschriften nur fragmentarisch erhalten sind und die Rekonstruktion teilweise auf wissenschaftlichen Interpretationen basiert. Die meisten </w:t>
      </w:r>
      <w:r w:rsidRPr="005046DB">
        <w:rPr>
          <w:rFonts w:ascii="Times New Roman" w:eastAsia="Times New Roman" w:hAnsi="Times New Roman"/>
          <w:lang w:eastAsia="de-DE"/>
        </w:rPr>
        <w:lastRenderedPageBreak/>
        <w:t>stammen aus der Zeit kurz vor und während des jüdischen Aufstands (66-70 n.Chr.).</w:t>
      </w:r>
    </w:p>
    <w:p w14:paraId="730AB128" w14:textId="77777777" w:rsidR="005046DB" w:rsidRPr="00E11E94" w:rsidRDefault="005046DB" w:rsidP="005046DB">
      <w:pPr>
        <w:spacing w:before="100" w:beforeAutospacing="1" w:after="100" w:afterAutospacing="1"/>
        <w:rPr>
          <w:rFonts w:ascii="Times New Roman" w:eastAsia="Times New Roman" w:hAnsi="Times New Roman"/>
          <w:lang w:eastAsia="de-DE"/>
        </w:rPr>
      </w:pPr>
      <w:r w:rsidRPr="005046DB">
        <w:rPr>
          <w:rFonts w:ascii="Times New Roman" w:eastAsia="Times New Roman" w:hAnsi="Times New Roman"/>
          <w:lang w:eastAsia="de-DE"/>
        </w:rPr>
        <w:t>Dies sind die am besten dokumentierten und von der Forschung akzeptierten epigraphischen Funde von der Burg Antonia. Weitere Inschriften existieren, sind aber oft stark beschädigt oder ih</w:t>
      </w:r>
      <w:r w:rsidR="006C7EDB">
        <w:rPr>
          <w:rFonts w:ascii="Times New Roman" w:eastAsia="Times New Roman" w:hAnsi="Times New Roman"/>
          <w:lang w:eastAsia="de-DE"/>
        </w:rPr>
        <w:t>r genauer Kontext ist unsicher.</w:t>
      </w:r>
    </w:p>
    <w:p w14:paraId="481F4C04" w14:textId="77777777" w:rsidR="00E11E94" w:rsidRPr="00E11E94" w:rsidRDefault="00E11E94" w:rsidP="00E11E94">
      <w:p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Die Quellen zeichnen das Bild einer imposanten Festungsanlage, die durch ihre Dimensionen und Positionierung die römische Macht in Jerusalem symbolisierte. Die archäologischen Funde bestätigen die in den schriftlichen Quellen genannten Maße und architektonischen Details weitgehend. Besonders wertvoll sind die präzisen Beschreibungen des Josephus, der die Burg aus eigener Anschauung kannte. Seine Angaben zu Dimensionen und Aufbau werden durch moderne archäologische Untersuchungen gestützt.</w:t>
      </w:r>
    </w:p>
    <w:p w14:paraId="384F05BF" w14:textId="77777777" w:rsidR="00E11E94" w:rsidRPr="00E11E94" w:rsidRDefault="00E11E94" w:rsidP="00E11E94">
      <w:pPr>
        <w:spacing w:before="100" w:beforeAutospacing="1" w:after="100" w:afterAutospacing="1"/>
        <w:rPr>
          <w:rFonts w:ascii="Times New Roman" w:eastAsia="Times New Roman" w:hAnsi="Times New Roman"/>
          <w:lang w:eastAsia="de-DE"/>
        </w:rPr>
      </w:pPr>
      <w:r w:rsidRPr="00E11E94">
        <w:rPr>
          <w:rFonts w:ascii="Times New Roman" w:eastAsia="Times New Roman" w:hAnsi="Times New Roman"/>
          <w:lang w:eastAsia="de-DE"/>
        </w:rPr>
        <w:t>Die kombinierte Evidenz aus literarischen und archäologischen Quellen ermöglicht eine relativ sichere Rekonstruktion der Burg Antonia in ihrer Funktion als zentraler Ort römischer Herrschaftsausübung im Je</w:t>
      </w:r>
      <w:r>
        <w:rPr>
          <w:rFonts w:ascii="Times New Roman" w:eastAsia="Times New Roman" w:hAnsi="Times New Roman"/>
          <w:lang w:eastAsia="de-DE"/>
        </w:rPr>
        <w:t>rusalem des ersten Jahrhunderts:</w:t>
      </w:r>
    </w:p>
    <w:p w14:paraId="3656B9AB" w14:textId="77777777" w:rsidR="00795108" w:rsidRPr="00B235B9" w:rsidRDefault="00795108" w:rsidP="00B235B9">
      <w:pPr>
        <w:spacing w:before="100" w:beforeAutospacing="1" w:after="100" w:afterAutospacing="1"/>
        <w:rPr>
          <w:rFonts w:ascii="Times New Roman" w:eastAsia="Times New Roman" w:hAnsi="Times New Roman"/>
          <w:lang w:eastAsia="de-DE"/>
        </w:rPr>
      </w:pPr>
      <w:r w:rsidRPr="00795108">
        <w:rPr>
          <w:rFonts w:ascii="Times New Roman" w:eastAsia="Times New Roman" w:hAnsi="Times New Roman"/>
          <w:noProof/>
          <w:lang w:eastAsia="de-DE"/>
        </w:rPr>
        <w:lastRenderedPageBreak/>
        <w:drawing>
          <wp:inline distT="0" distB="0" distL="0" distR="0" wp14:anchorId="56A1F2DC" wp14:editId="52DCC03F">
            <wp:extent cx="4245225" cy="2588821"/>
            <wp:effectExtent l="0" t="0" r="3175" b="254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57302" cy="2596186"/>
                    </a:xfrm>
                    <a:prstGeom prst="rect">
                      <a:avLst/>
                    </a:prstGeom>
                  </pic:spPr>
                </pic:pic>
              </a:graphicData>
            </a:graphic>
          </wp:inline>
        </w:drawing>
      </w:r>
    </w:p>
    <w:p w14:paraId="521F908A" w14:textId="77777777" w:rsidR="00795108" w:rsidRDefault="00795108" w:rsidP="00795108">
      <w:pPr>
        <w:pStyle w:val="StandardWeb"/>
      </w:pPr>
      <w:r>
        <w:t>Die Festung hat eine Grundfläche von 150 mal 180 Metern und ist 30-35 Meter hoch, mit bis zu 4 Meter dicken Wänden, die 20 Meter über dem Tempelbereich liegen.</w:t>
      </w:r>
    </w:p>
    <w:p w14:paraId="13F8D51C" w14:textId="77777777" w:rsidR="00795108" w:rsidRDefault="00795108" w:rsidP="00795108">
      <w:pPr>
        <w:pStyle w:val="StandardWeb"/>
      </w:pPr>
      <w:r>
        <w:rPr>
          <w:rStyle w:val="Fett"/>
        </w:rPr>
        <w:t>Wichtige innere Bereiche:</w:t>
      </w:r>
    </w:p>
    <w:p w14:paraId="6B163FCB" w14:textId="77777777" w:rsidR="00795108" w:rsidRDefault="00795108" w:rsidP="00714222">
      <w:pPr>
        <w:pStyle w:val="StandardWeb"/>
        <w:numPr>
          <w:ilvl w:val="0"/>
          <w:numId w:val="313"/>
        </w:numPr>
      </w:pPr>
      <w:r>
        <w:rPr>
          <w:rStyle w:val="Fett"/>
        </w:rPr>
        <w:t>Lithostrotos:</w:t>
      </w:r>
      <w:r>
        <w:t xml:space="preserve"> Ein Hofbereich von 15 mal 20 Metern mit gepflasterter Oberfläche, befindet sich im Erdgeschoss in der Nähe des Haupteingangs.</w:t>
      </w:r>
    </w:p>
    <w:p w14:paraId="5A0EFE5F" w14:textId="77777777" w:rsidR="00795108" w:rsidRDefault="00795108" w:rsidP="00714222">
      <w:pPr>
        <w:pStyle w:val="StandardWeb"/>
        <w:numPr>
          <w:ilvl w:val="0"/>
          <w:numId w:val="313"/>
        </w:numPr>
      </w:pPr>
      <w:r>
        <w:rPr>
          <w:rStyle w:val="Fett"/>
        </w:rPr>
        <w:t>Prätorium:</w:t>
      </w:r>
      <w:r>
        <w:t xml:space="preserve"> Hier sind etwa 600 Soldaten auf mehreren Ebenen untergebracht. Es gibt separate Bereiche für Offiziere, eine Waffenkammer und Lager.</w:t>
      </w:r>
    </w:p>
    <w:p w14:paraId="39CFE355" w14:textId="77777777" w:rsidR="00795108" w:rsidRDefault="00795108" w:rsidP="00714222">
      <w:pPr>
        <w:pStyle w:val="StandardWeb"/>
        <w:numPr>
          <w:ilvl w:val="0"/>
          <w:numId w:val="313"/>
        </w:numPr>
      </w:pPr>
      <w:r>
        <w:rPr>
          <w:rStyle w:val="Fett"/>
        </w:rPr>
        <w:t>Gerichtssaal:</w:t>
      </w:r>
      <w:r>
        <w:t xml:space="preserve"> Dieser misst 20 mal 30 Meter, verfügt über eine erhöhte Plattform für den Richter und ist direkt mit dem Lithostrotos verbunden.</w:t>
      </w:r>
    </w:p>
    <w:p w14:paraId="62D47121" w14:textId="77777777" w:rsidR="00795108" w:rsidRDefault="00795108" w:rsidP="00795108">
      <w:pPr>
        <w:pStyle w:val="StandardWeb"/>
      </w:pPr>
      <w:r>
        <w:rPr>
          <w:rStyle w:val="Fett"/>
        </w:rPr>
        <w:t>Wachtürme:</w:t>
      </w:r>
    </w:p>
    <w:p w14:paraId="44090008" w14:textId="77777777" w:rsidR="00795108" w:rsidRDefault="00795108" w:rsidP="00714222">
      <w:pPr>
        <w:pStyle w:val="StandardWeb"/>
        <w:numPr>
          <w:ilvl w:val="0"/>
          <w:numId w:val="314"/>
        </w:numPr>
      </w:pPr>
      <w:r>
        <w:lastRenderedPageBreak/>
        <w:t>Es gibt vier Wachtürme, die etwa 20 Meter über dem Dach der Festung und 6-8 Meter im Durchmesser sind, mit 360°-Aussichtsplattformen.</w:t>
      </w:r>
    </w:p>
    <w:p w14:paraId="3F110CE6" w14:textId="77777777" w:rsidR="00795108" w:rsidRDefault="00795108" w:rsidP="00795108">
      <w:pPr>
        <w:pStyle w:val="StandardWeb"/>
      </w:pPr>
      <w:r>
        <w:rPr>
          <w:rStyle w:val="Fett"/>
        </w:rPr>
        <w:t>Funktionale Bereiche:</w:t>
      </w:r>
    </w:p>
    <w:p w14:paraId="3DE8834C" w14:textId="77777777" w:rsidR="00795108" w:rsidRDefault="00795108" w:rsidP="00714222">
      <w:pPr>
        <w:pStyle w:val="StandardWeb"/>
        <w:numPr>
          <w:ilvl w:val="0"/>
          <w:numId w:val="315"/>
        </w:numPr>
      </w:pPr>
      <w:r>
        <w:rPr>
          <w:rStyle w:val="Fett"/>
        </w:rPr>
        <w:t>Keller:</w:t>
      </w:r>
      <w:r>
        <w:t xml:space="preserve"> Enthält Zellen</w:t>
      </w:r>
    </w:p>
    <w:p w14:paraId="085D0749" w14:textId="77777777" w:rsidR="00795108" w:rsidRDefault="00795108" w:rsidP="00714222">
      <w:pPr>
        <w:pStyle w:val="StandardWeb"/>
        <w:numPr>
          <w:ilvl w:val="0"/>
          <w:numId w:val="315"/>
        </w:numPr>
      </w:pPr>
      <w:r>
        <w:rPr>
          <w:rStyle w:val="Fett"/>
        </w:rPr>
        <w:t>Verwaltungsflügel</w:t>
      </w:r>
    </w:p>
    <w:p w14:paraId="70C91725" w14:textId="77777777" w:rsidR="00795108" w:rsidRDefault="00795108" w:rsidP="00714222">
      <w:pPr>
        <w:pStyle w:val="StandardWeb"/>
        <w:numPr>
          <w:ilvl w:val="0"/>
          <w:numId w:val="315"/>
        </w:numPr>
      </w:pPr>
      <w:r>
        <w:rPr>
          <w:rStyle w:val="Fett"/>
        </w:rPr>
        <w:t>Quartiere der Soldaten</w:t>
      </w:r>
    </w:p>
    <w:p w14:paraId="2DB78854" w14:textId="77777777" w:rsidR="00795108" w:rsidRDefault="00795108" w:rsidP="00714222">
      <w:pPr>
        <w:pStyle w:val="StandardWeb"/>
        <w:numPr>
          <w:ilvl w:val="0"/>
          <w:numId w:val="315"/>
        </w:numPr>
      </w:pPr>
      <w:r>
        <w:rPr>
          <w:rStyle w:val="Fett"/>
        </w:rPr>
        <w:t>Versorgungsanlagen</w:t>
      </w:r>
    </w:p>
    <w:p w14:paraId="2E8EB079" w14:textId="77777777" w:rsidR="00795108" w:rsidRDefault="00795108" w:rsidP="00714222">
      <w:pPr>
        <w:pStyle w:val="StandardWeb"/>
        <w:numPr>
          <w:ilvl w:val="0"/>
          <w:numId w:val="315"/>
        </w:numPr>
      </w:pPr>
      <w:r>
        <w:rPr>
          <w:rStyle w:val="Fett"/>
        </w:rPr>
        <w:t>Waffenkammern</w:t>
      </w:r>
    </w:p>
    <w:p w14:paraId="4C131E11" w14:textId="77777777" w:rsidR="00795108" w:rsidRDefault="00795108" w:rsidP="00714222">
      <w:pPr>
        <w:pStyle w:val="StandardWeb"/>
        <w:numPr>
          <w:ilvl w:val="0"/>
          <w:numId w:val="315"/>
        </w:numPr>
      </w:pPr>
      <w:r>
        <w:rPr>
          <w:rStyle w:val="Fett"/>
        </w:rPr>
        <w:t>Lagerhäuser</w:t>
      </w:r>
    </w:p>
    <w:p w14:paraId="5162C3E3" w14:textId="77777777" w:rsidR="00795108" w:rsidRDefault="00795108" w:rsidP="00795108">
      <w:pPr>
        <w:pStyle w:val="StandardWeb"/>
      </w:pPr>
      <w:r>
        <w:rPr>
          <w:rStyle w:val="Fett"/>
        </w:rPr>
        <w:t>Zugangspunkte:</w:t>
      </w:r>
    </w:p>
    <w:p w14:paraId="0BDA17F5" w14:textId="77777777" w:rsidR="00795108" w:rsidRDefault="00795108" w:rsidP="00714222">
      <w:pPr>
        <w:pStyle w:val="StandardWeb"/>
        <w:numPr>
          <w:ilvl w:val="0"/>
          <w:numId w:val="316"/>
        </w:numPr>
      </w:pPr>
      <w:r>
        <w:rPr>
          <w:rStyle w:val="Fett"/>
        </w:rPr>
        <w:t>Haupttor</w:t>
      </w:r>
      <w:r>
        <w:t xml:space="preserve"> auf der Westseite</w:t>
      </w:r>
    </w:p>
    <w:p w14:paraId="1FEBAA34" w14:textId="77777777" w:rsidR="00795108" w:rsidRDefault="00795108" w:rsidP="00714222">
      <w:pPr>
        <w:pStyle w:val="StandardWeb"/>
        <w:numPr>
          <w:ilvl w:val="0"/>
          <w:numId w:val="316"/>
        </w:numPr>
      </w:pPr>
      <w:r>
        <w:t>Separate militärische Eingänge</w:t>
      </w:r>
    </w:p>
    <w:p w14:paraId="57A4B8ED" w14:textId="77777777" w:rsidR="00795108" w:rsidRDefault="00795108" w:rsidP="00714222">
      <w:pPr>
        <w:pStyle w:val="StandardWeb"/>
        <w:numPr>
          <w:ilvl w:val="0"/>
          <w:numId w:val="316"/>
        </w:numPr>
      </w:pPr>
      <w:r>
        <w:t>Geheimgänge zum Tempelbereich</w:t>
      </w:r>
    </w:p>
    <w:p w14:paraId="74B25D36" w14:textId="77777777" w:rsidR="00795108" w:rsidRDefault="00795108" w:rsidP="00714222">
      <w:pPr>
        <w:pStyle w:val="StandardWeb"/>
        <w:numPr>
          <w:ilvl w:val="0"/>
          <w:numId w:val="316"/>
        </w:numPr>
      </w:pPr>
      <w:r>
        <w:t>Treppen zu den Türmen</w:t>
      </w:r>
    </w:p>
    <w:p w14:paraId="6F404665" w14:textId="77777777" w:rsidR="00795108" w:rsidRDefault="00795108" w:rsidP="00714222">
      <w:pPr>
        <w:pStyle w:val="StandardWeb"/>
        <w:numPr>
          <w:ilvl w:val="0"/>
          <w:numId w:val="316"/>
        </w:numPr>
      </w:pPr>
      <w:r>
        <w:t>Verbindungswege</w:t>
      </w:r>
    </w:p>
    <w:p w14:paraId="2408CD56" w14:textId="77777777" w:rsidR="00795108" w:rsidRDefault="00795108" w:rsidP="00795108">
      <w:pPr>
        <w:pStyle w:val="StandardWeb"/>
      </w:pPr>
      <w:r>
        <w:rPr>
          <w:rStyle w:val="Fett"/>
        </w:rPr>
        <w:t>Sicherheitsmerkmale:</w:t>
      </w:r>
    </w:p>
    <w:p w14:paraId="0EEF50E5" w14:textId="77777777" w:rsidR="00795108" w:rsidRDefault="00795108" w:rsidP="00714222">
      <w:pPr>
        <w:pStyle w:val="StandardWeb"/>
        <w:numPr>
          <w:ilvl w:val="0"/>
          <w:numId w:val="317"/>
        </w:numPr>
      </w:pPr>
      <w:r>
        <w:t>Doppelwände</w:t>
      </w:r>
    </w:p>
    <w:p w14:paraId="2AA2232F" w14:textId="77777777" w:rsidR="00795108" w:rsidRDefault="00795108" w:rsidP="00714222">
      <w:pPr>
        <w:pStyle w:val="StandardWeb"/>
        <w:numPr>
          <w:ilvl w:val="0"/>
          <w:numId w:val="317"/>
        </w:numPr>
      </w:pPr>
      <w:r>
        <w:t>Wachposten alle 30 Meter</w:t>
      </w:r>
    </w:p>
    <w:p w14:paraId="36EBA635" w14:textId="77777777" w:rsidR="00795108" w:rsidRDefault="00795108" w:rsidP="00714222">
      <w:pPr>
        <w:pStyle w:val="StandardWeb"/>
        <w:numPr>
          <w:ilvl w:val="0"/>
          <w:numId w:val="317"/>
        </w:numPr>
      </w:pPr>
      <w:r>
        <w:t>Erhöhte Gehwege</w:t>
      </w:r>
    </w:p>
    <w:p w14:paraId="47DDBF2E" w14:textId="77777777" w:rsidR="00795108" w:rsidRDefault="00795108" w:rsidP="00714222">
      <w:pPr>
        <w:pStyle w:val="StandardWeb"/>
        <w:numPr>
          <w:ilvl w:val="0"/>
          <w:numId w:val="317"/>
        </w:numPr>
      </w:pPr>
      <w:r>
        <w:t>Signalsystem zwischen den Türmen</w:t>
      </w:r>
    </w:p>
    <w:p w14:paraId="7498F19F" w14:textId="77777777" w:rsidR="00795108" w:rsidRDefault="00795108" w:rsidP="00714222">
      <w:pPr>
        <w:pStyle w:val="StandardWeb"/>
        <w:numPr>
          <w:ilvl w:val="0"/>
          <w:numId w:val="317"/>
        </w:numPr>
      </w:pPr>
      <w:r>
        <w:t>Gräben an drei Seiten</w:t>
      </w:r>
    </w:p>
    <w:p w14:paraId="75095049" w14:textId="77777777" w:rsidR="00795108" w:rsidRDefault="00795108" w:rsidP="00795108">
      <w:pPr>
        <w:pStyle w:val="StandardWeb"/>
      </w:pPr>
      <w:r>
        <w:rPr>
          <w:rStyle w:val="Fett"/>
        </w:rPr>
        <w:t>Architektonischer Stil:</w:t>
      </w:r>
    </w:p>
    <w:p w14:paraId="2554C6B5" w14:textId="77777777" w:rsidR="00795108" w:rsidRDefault="00795108" w:rsidP="00714222">
      <w:pPr>
        <w:pStyle w:val="StandardWeb"/>
        <w:numPr>
          <w:ilvl w:val="0"/>
          <w:numId w:val="318"/>
        </w:numPr>
      </w:pPr>
      <w:r>
        <w:t>Spiegelt das römische Militärdesign wider mit robusten Steinmauern und strategischen Elementen.</w:t>
      </w:r>
    </w:p>
    <w:p w14:paraId="5C7CB2ED" w14:textId="77777777" w:rsidR="00B235B9" w:rsidRPr="00B235B9" w:rsidRDefault="00795108" w:rsidP="00B235B9">
      <w:pPr>
        <w:spacing w:before="100" w:beforeAutospacing="1" w:after="100" w:afterAutospacing="1"/>
        <w:rPr>
          <w:rFonts w:ascii="Times New Roman" w:eastAsia="Times New Roman" w:hAnsi="Times New Roman"/>
          <w:lang w:eastAsia="de-DE"/>
        </w:rPr>
      </w:pPr>
      <w:r>
        <w:rPr>
          <w:rFonts w:ascii="Times New Roman" w:eastAsia="Times New Roman" w:hAnsi="Times New Roman"/>
          <w:b/>
          <w:bCs/>
          <w:lang w:eastAsia="de-DE"/>
        </w:rPr>
        <w:lastRenderedPageBreak/>
        <w:br/>
      </w:r>
      <w:r w:rsidR="00B235B9" w:rsidRPr="00B235B9">
        <w:rPr>
          <w:rFonts w:ascii="Times New Roman" w:eastAsia="Times New Roman" w:hAnsi="Times New Roman"/>
          <w:b/>
          <w:bCs/>
          <w:lang w:eastAsia="de-DE"/>
        </w:rPr>
        <w:t>Jesu Position während des Verhörs</w:t>
      </w:r>
      <w:r w:rsidR="004E60BC">
        <w:rPr>
          <w:rFonts w:ascii="Times New Roman" w:eastAsia="Times New Roman" w:hAnsi="Times New Roman"/>
          <w:b/>
          <w:bCs/>
          <w:lang w:eastAsia="de-DE"/>
        </w:rPr>
        <w:t>:</w:t>
      </w:r>
    </w:p>
    <w:p w14:paraId="377E4C58"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Archäologische und historische Rekonstruktionen zeigen:</w:t>
      </w:r>
    </w:p>
    <w:p w14:paraId="3EA85038" w14:textId="77777777" w:rsidR="00B235B9" w:rsidRPr="00B235B9" w:rsidRDefault="00B235B9" w:rsidP="001B6D02">
      <w:pPr>
        <w:numPr>
          <w:ilvl w:val="0"/>
          <w:numId w:val="95"/>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Wahrscheinlich im Innenhof</w:t>
      </w:r>
    </w:p>
    <w:p w14:paraId="698D050B" w14:textId="77777777" w:rsidR="00B235B9" w:rsidRPr="00B235B9" w:rsidRDefault="00B235B9" w:rsidP="001B6D02">
      <w:pPr>
        <w:numPr>
          <w:ilvl w:val="0"/>
          <w:numId w:val="95"/>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Vor dem Richterstuhl des Pilatus</w:t>
      </w:r>
    </w:p>
    <w:p w14:paraId="57B18E73" w14:textId="77777777" w:rsidR="00B235B9" w:rsidRPr="00B235B9" w:rsidRDefault="00B235B9" w:rsidP="001B6D02">
      <w:pPr>
        <w:numPr>
          <w:ilvl w:val="0"/>
          <w:numId w:val="95"/>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Umgeben von römischen Soldaten</w:t>
      </w:r>
    </w:p>
    <w:p w14:paraId="648798F6" w14:textId="77777777" w:rsidR="00B235B9" w:rsidRDefault="00B235B9" w:rsidP="001B6D02">
      <w:pPr>
        <w:numPr>
          <w:ilvl w:val="0"/>
          <w:numId w:val="95"/>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Exponiert und ohne Schutz</w:t>
      </w:r>
    </w:p>
    <w:p w14:paraId="3D6C0734" w14:textId="77777777" w:rsidR="00B235B9" w:rsidRPr="00B235B9" w:rsidRDefault="00917322" w:rsidP="00B235B9">
      <w:pPr>
        <w:spacing w:before="100" w:beforeAutospacing="1" w:after="100" w:afterAutospacing="1"/>
        <w:rPr>
          <w:rFonts w:ascii="Times New Roman" w:eastAsia="Times New Roman" w:hAnsi="Times New Roman"/>
          <w:lang w:eastAsia="de-DE"/>
        </w:rPr>
      </w:pPr>
      <w:r>
        <w:rPr>
          <w:rFonts w:ascii="Times New Roman" w:eastAsia="Times New Roman" w:hAnsi="Times New Roman"/>
          <w:b/>
          <w:bCs/>
          <w:lang w:eastAsia="de-DE"/>
        </w:rPr>
        <w:t>Die Bewegungen von Pilatus und</w:t>
      </w:r>
      <w:r w:rsidR="00B235B9" w:rsidRPr="00B235B9">
        <w:rPr>
          <w:rFonts w:ascii="Times New Roman" w:eastAsia="Times New Roman" w:hAnsi="Times New Roman"/>
          <w:b/>
          <w:bCs/>
          <w:lang w:eastAsia="de-DE"/>
        </w:rPr>
        <w:t xml:space="preserve"> die Volksmenge</w:t>
      </w:r>
      <w:r w:rsidR="004E60BC">
        <w:rPr>
          <w:rFonts w:ascii="Times New Roman" w:eastAsia="Times New Roman" w:hAnsi="Times New Roman"/>
          <w:b/>
          <w:bCs/>
          <w:lang w:eastAsia="de-DE"/>
        </w:rPr>
        <w:t>:</w:t>
      </w:r>
      <w:r w:rsidR="00B235B9" w:rsidRPr="00B235B9">
        <w:rPr>
          <w:rFonts w:ascii="Times New Roman" w:eastAsia="Times New Roman" w:hAnsi="Times New Roman"/>
          <w:b/>
          <w:bCs/>
          <w:lang w:eastAsia="de-DE"/>
        </w:rPr>
        <w:t xml:space="preserve"> </w:t>
      </w:r>
    </w:p>
    <w:p w14:paraId="783E37DF"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Die Ereignisse um die Verurteilung Jesu waren ein komplexes Zusammenspiel politischer, sozialer und räumlicher Dynamiken, zentriert um die Burg Antonia und den Lithostrotos (Gabbatha).</w:t>
      </w:r>
    </w:p>
    <w:p w14:paraId="2C33CEE3"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b/>
          <w:bCs/>
          <w:lang w:eastAsia="de-DE"/>
        </w:rPr>
        <w:t>Räumliche Kontextualisierung</w:t>
      </w:r>
      <w:r w:rsidR="004E60BC">
        <w:rPr>
          <w:rFonts w:ascii="Times New Roman" w:eastAsia="Times New Roman" w:hAnsi="Times New Roman"/>
          <w:b/>
          <w:bCs/>
          <w:lang w:eastAsia="de-DE"/>
        </w:rPr>
        <w:t>:</w:t>
      </w:r>
    </w:p>
    <w:p w14:paraId="5C7DFDC8"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Der Lithostrotos, ein gepflasterter Gerichtsplatz, befand sich:</w:t>
      </w:r>
    </w:p>
    <w:p w14:paraId="10E35734" w14:textId="77777777" w:rsidR="00B235B9" w:rsidRPr="00B235B9" w:rsidRDefault="00B235B9" w:rsidP="001B6D02">
      <w:pPr>
        <w:numPr>
          <w:ilvl w:val="0"/>
          <w:numId w:val="96"/>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Im Erdgeschoss der Burg Antonia</w:t>
      </w:r>
    </w:p>
    <w:p w14:paraId="323840AE" w14:textId="77777777" w:rsidR="00B235B9" w:rsidRPr="00B235B9" w:rsidRDefault="00B235B9" w:rsidP="001B6D02">
      <w:pPr>
        <w:numPr>
          <w:ilvl w:val="0"/>
          <w:numId w:val="96"/>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Direkt neben dem Haupteingang</w:t>
      </w:r>
    </w:p>
    <w:p w14:paraId="58C5C8D6" w14:textId="77777777" w:rsidR="00B235B9" w:rsidRPr="00B235B9" w:rsidRDefault="00B235B9" w:rsidP="001B6D02">
      <w:pPr>
        <w:numPr>
          <w:ilvl w:val="0"/>
          <w:numId w:val="96"/>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Mit Sichtverbindung zum Tempelbereich</w:t>
      </w:r>
    </w:p>
    <w:p w14:paraId="4CF87E0A" w14:textId="77777777" w:rsidR="00B235B9" w:rsidRPr="00B235B9" w:rsidRDefault="00B235B9" w:rsidP="001B6D02">
      <w:pPr>
        <w:numPr>
          <w:ilvl w:val="0"/>
          <w:numId w:val="96"/>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Strategisch für öffentliche Verhandlungen platziert</w:t>
      </w:r>
    </w:p>
    <w:p w14:paraId="1ED97B47"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b/>
          <w:bCs/>
          <w:lang w:eastAsia="de-DE"/>
        </w:rPr>
        <w:t>Pilatus' Bewegungen</w:t>
      </w:r>
      <w:r w:rsidR="004E60BC">
        <w:rPr>
          <w:rFonts w:ascii="Times New Roman" w:eastAsia="Times New Roman" w:hAnsi="Times New Roman"/>
          <w:b/>
          <w:bCs/>
          <w:lang w:eastAsia="de-DE"/>
        </w:rPr>
        <w:t>:</w:t>
      </w:r>
    </w:p>
    <w:p w14:paraId="27B14034"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Seine Positionierung war symbolisch und politisch kalkuliert:</w:t>
      </w:r>
    </w:p>
    <w:p w14:paraId="496BF032" w14:textId="77777777" w:rsidR="00B235B9" w:rsidRPr="00B235B9" w:rsidRDefault="00B235B9" w:rsidP="001B6D02">
      <w:pPr>
        <w:numPr>
          <w:ilvl w:val="0"/>
          <w:numId w:val="97"/>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Wechselte zwischen Innenraum und Außenbereich</w:t>
      </w:r>
    </w:p>
    <w:p w14:paraId="76413BEE" w14:textId="77777777" w:rsidR="00B235B9" w:rsidRPr="00B235B9" w:rsidRDefault="00B235B9" w:rsidP="001B6D02">
      <w:pPr>
        <w:numPr>
          <w:ilvl w:val="0"/>
          <w:numId w:val="97"/>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Versuchte Distanz zur jüdischen Führung</w:t>
      </w:r>
    </w:p>
    <w:p w14:paraId="3C4785BC" w14:textId="77777777" w:rsidR="00B235B9" w:rsidRPr="00B235B9" w:rsidRDefault="00B235B9" w:rsidP="001B6D02">
      <w:pPr>
        <w:numPr>
          <w:ilvl w:val="0"/>
          <w:numId w:val="97"/>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Demonstrierte römische Souveränität</w:t>
      </w:r>
    </w:p>
    <w:p w14:paraId="585AD880" w14:textId="77777777" w:rsidR="00B235B9" w:rsidRPr="00B235B9" w:rsidRDefault="00B235B9" w:rsidP="001B6D02">
      <w:pPr>
        <w:numPr>
          <w:ilvl w:val="0"/>
          <w:numId w:val="97"/>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Nutzte öffentliche Inszenierung als Machtinstrument</w:t>
      </w:r>
    </w:p>
    <w:p w14:paraId="25725F56"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b/>
          <w:bCs/>
          <w:lang w:eastAsia="de-DE"/>
        </w:rPr>
        <w:t>Volksmenge</w:t>
      </w:r>
      <w:r w:rsidR="004E60BC">
        <w:rPr>
          <w:rFonts w:ascii="Times New Roman" w:eastAsia="Times New Roman" w:hAnsi="Times New Roman"/>
          <w:b/>
          <w:bCs/>
          <w:lang w:eastAsia="de-DE"/>
        </w:rPr>
        <w:t>:</w:t>
      </w:r>
    </w:p>
    <w:p w14:paraId="101347E9"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lastRenderedPageBreak/>
        <w:t>Die versammelte Menge hatte komplexe Zusammensetzung:</w:t>
      </w:r>
    </w:p>
    <w:p w14:paraId="5D69E423" w14:textId="77777777" w:rsidR="00B235B9" w:rsidRPr="00B235B9" w:rsidRDefault="00B235B9" w:rsidP="001B6D02">
      <w:pPr>
        <w:numPr>
          <w:ilvl w:val="0"/>
          <w:numId w:val="98"/>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Verschiedene soziale Schichten</w:t>
      </w:r>
    </w:p>
    <w:p w14:paraId="0EEB9C19" w14:textId="77777777" w:rsidR="00B235B9" w:rsidRPr="00B235B9" w:rsidRDefault="00B235B9" w:rsidP="001B6D02">
      <w:pPr>
        <w:numPr>
          <w:ilvl w:val="0"/>
          <w:numId w:val="98"/>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Religiöse Führer</w:t>
      </w:r>
    </w:p>
    <w:p w14:paraId="3D0C85A0" w14:textId="77777777" w:rsidR="00B235B9" w:rsidRPr="00B235B9" w:rsidRDefault="00B235B9" w:rsidP="001B6D02">
      <w:pPr>
        <w:numPr>
          <w:ilvl w:val="0"/>
          <w:numId w:val="98"/>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Neugierige</w:t>
      </w:r>
    </w:p>
    <w:p w14:paraId="010CE675" w14:textId="77777777" w:rsidR="00B235B9" w:rsidRPr="00B235B9" w:rsidRDefault="00B235B9" w:rsidP="001B6D02">
      <w:pPr>
        <w:numPr>
          <w:ilvl w:val="0"/>
          <w:numId w:val="98"/>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Politische Aktivisten</w:t>
      </w:r>
    </w:p>
    <w:p w14:paraId="4B93144D" w14:textId="77777777" w:rsidR="00B235B9" w:rsidRPr="00B235B9" w:rsidRDefault="00B235B9" w:rsidP="001B6D02">
      <w:pPr>
        <w:numPr>
          <w:ilvl w:val="0"/>
          <w:numId w:val="98"/>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Anhänger und Gegner Jesu</w:t>
      </w:r>
    </w:p>
    <w:p w14:paraId="460A0ACE"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Josephus beschreibt solche Volkszusammenkünfte als hochexplosiv.</w:t>
      </w:r>
    </w:p>
    <w:p w14:paraId="10064F88" w14:textId="77777777" w:rsidR="008A0273" w:rsidRPr="008A0273" w:rsidRDefault="008A0273" w:rsidP="008A0273">
      <w:pPr>
        <w:spacing w:before="100" w:beforeAutospacing="1" w:after="100" w:afterAutospacing="1"/>
        <w:rPr>
          <w:rFonts w:ascii="Times New Roman" w:eastAsia="Times New Roman" w:hAnsi="Times New Roman"/>
          <w:lang w:eastAsia="de-DE"/>
        </w:rPr>
      </w:pPr>
      <w:r w:rsidRPr="008A0273">
        <w:rPr>
          <w:rFonts w:ascii="Times New Roman" w:eastAsia="Times New Roman" w:hAnsi="Times New Roman"/>
          <w:b/>
          <w:bCs/>
          <w:lang w:eastAsia="de-DE"/>
        </w:rPr>
        <w:t>Die Bewegungen Jesu in der Burg Antonia bis zum Beginn des Kreuzwegs</w:t>
      </w:r>
      <w:r w:rsidR="004E60BC">
        <w:rPr>
          <w:rFonts w:ascii="Times New Roman" w:eastAsia="Times New Roman" w:hAnsi="Times New Roman"/>
          <w:b/>
          <w:bCs/>
          <w:lang w:eastAsia="de-DE"/>
        </w:rPr>
        <w:t>:</w:t>
      </w:r>
    </w:p>
    <w:p w14:paraId="158A2918" w14:textId="77777777" w:rsidR="008A0273" w:rsidRPr="008A0273" w:rsidRDefault="008A0273" w:rsidP="008A0273">
      <w:pPr>
        <w:spacing w:before="100" w:beforeAutospacing="1" w:after="100" w:afterAutospacing="1"/>
        <w:rPr>
          <w:rFonts w:ascii="Times New Roman" w:eastAsia="Times New Roman" w:hAnsi="Times New Roman"/>
          <w:lang w:eastAsia="de-DE"/>
        </w:rPr>
      </w:pPr>
      <w:r w:rsidRPr="008A0273">
        <w:rPr>
          <w:rFonts w:ascii="Times New Roman" w:eastAsia="Times New Roman" w:hAnsi="Times New Roman"/>
          <w:lang w:eastAsia="de-DE"/>
        </w:rPr>
        <w:t>Jesus erreichte die Burg Antonia in den frühen Morgenstunden, wahrscheinlich gegen 6 Uhr, nach einer Nacht intensiver Verhöre vor dem Hohen Rat. Der Eintritt in die Festung erfolgte durch das östliche Haupttor, flankiert von römischen Wachen. Im Innenhof der Burg wurde er zunächst in einen der unteren Verwahrbereiche geführt, während die jüdische Führung ihre Anklage vor Pilatus vortrug.</w:t>
      </w:r>
    </w:p>
    <w:p w14:paraId="1B6DEC78" w14:textId="77777777" w:rsidR="008A0273" w:rsidRPr="008A0273" w:rsidRDefault="008A0273" w:rsidP="008A0273">
      <w:pPr>
        <w:spacing w:before="100" w:beforeAutospacing="1" w:after="100" w:afterAutospacing="1"/>
        <w:rPr>
          <w:rFonts w:ascii="Times New Roman" w:eastAsia="Times New Roman" w:hAnsi="Times New Roman"/>
          <w:lang w:eastAsia="de-DE"/>
        </w:rPr>
      </w:pPr>
      <w:r w:rsidRPr="008A0273">
        <w:rPr>
          <w:rFonts w:ascii="Times New Roman" w:eastAsia="Times New Roman" w:hAnsi="Times New Roman"/>
          <w:lang w:eastAsia="de-DE"/>
        </w:rPr>
        <w:t>Die erste Vorführung vor Pilatus fand im Lithostrotos statt, einem gepflasterten Gerichtsplatz im Erdgeschoss der Burg. Nach dem initialen Verhör wurde Jesus in den Prätoriumsbereich gebracht, wo die römischen Soldaten die Geißelung durchführten. Dieser Bereich befand sich wahrscheinlich in einem der Innenhöfe, ausgestattet mit einer Geißelungssäule. Die archäologischen Befunde zeigen einen gepflasterten Hof von etwa 15x20 Metern.</w:t>
      </w:r>
    </w:p>
    <w:p w14:paraId="2BF8B5FC" w14:textId="77777777" w:rsidR="008A0273" w:rsidRPr="008A0273" w:rsidRDefault="008A0273" w:rsidP="008A0273">
      <w:pPr>
        <w:spacing w:before="100" w:beforeAutospacing="1" w:after="100" w:afterAutospacing="1"/>
        <w:rPr>
          <w:rFonts w:ascii="Times New Roman" w:eastAsia="Times New Roman" w:hAnsi="Times New Roman"/>
          <w:lang w:eastAsia="de-DE"/>
        </w:rPr>
      </w:pPr>
      <w:r w:rsidRPr="008A0273">
        <w:rPr>
          <w:rFonts w:ascii="Times New Roman" w:eastAsia="Times New Roman" w:hAnsi="Times New Roman"/>
          <w:lang w:eastAsia="de-DE"/>
        </w:rPr>
        <w:t xml:space="preserve">Nach der Geißelung führten die Soldaten Jesus in ihre Kaserne (Prætorium), vermutlich im westlichen Teil der Burg gelegen. Hier fand die Verspottung statt, bei der ihm der Purpurmantel angelegt und die Dornenkrone aufgesetzt wurde. Diese Phase dauerte etwa </w:t>
      </w:r>
      <w:r w:rsidRPr="008A0273">
        <w:rPr>
          <w:rFonts w:ascii="Times New Roman" w:eastAsia="Times New Roman" w:hAnsi="Times New Roman"/>
          <w:lang w:eastAsia="de-DE"/>
        </w:rPr>
        <w:lastRenderedPageBreak/>
        <w:t>30-45 Minuten, während Pilatus weitere Verhandlungen mit der jüdischen Führung führte.</w:t>
      </w:r>
    </w:p>
    <w:p w14:paraId="3FFFC83C" w14:textId="77777777" w:rsidR="008A0273" w:rsidRDefault="008A0273" w:rsidP="00B235B9">
      <w:pPr>
        <w:spacing w:before="100" w:beforeAutospacing="1" w:after="100" w:afterAutospacing="1"/>
        <w:rPr>
          <w:rFonts w:ascii="Times New Roman" w:eastAsia="Times New Roman" w:hAnsi="Times New Roman"/>
          <w:lang w:eastAsia="de-DE"/>
        </w:rPr>
      </w:pPr>
      <w:r w:rsidRPr="008A0273">
        <w:rPr>
          <w:rFonts w:ascii="Times New Roman" w:eastAsia="Times New Roman" w:hAnsi="Times New Roman"/>
          <w:lang w:eastAsia="de-DE"/>
        </w:rPr>
        <w:t>Die finale Vorführung und Verurteilung erfolgte wieder auf dem Lithostrotos, diesmal an der erhöhten Richterposition (Bema). Von dort führte man Jesus durch das westliche Tor der Burg hinaus, wo der eigentliche Kreuzweg begann. Der gesamte Aufenthalt in der Burg Antonia dauerte etwa zwei bis drei Stunden, von der ersten Vorführung bis zum Beginn des Kreuzwegs.</w:t>
      </w:r>
    </w:p>
    <w:p w14:paraId="518C7347" w14:textId="77777777" w:rsidR="006C7EDB" w:rsidRPr="006C7EDB" w:rsidRDefault="006C7EDB" w:rsidP="006C7EDB">
      <w:pPr>
        <w:rPr>
          <w:rStyle w:val="Fett"/>
          <w:rFonts w:ascii="Times New Roman" w:eastAsia="Times New Roman" w:hAnsi="Times New Roman"/>
          <w:lang w:eastAsia="de-DE"/>
        </w:rPr>
      </w:pPr>
      <w:r w:rsidRPr="006C7EDB">
        <w:rPr>
          <w:rStyle w:val="Fett"/>
          <w:rFonts w:ascii="Times New Roman" w:eastAsia="Times New Roman" w:hAnsi="Times New Roman"/>
          <w:lang w:eastAsia="de-DE"/>
        </w:rPr>
        <w:t>Archäologische Belege des Königsspiels in der Burg Antonia</w:t>
      </w:r>
    </w:p>
    <w:p w14:paraId="326865DE" w14:textId="77777777" w:rsidR="006C7EDB" w:rsidRDefault="006C7EDB" w:rsidP="006C7EDB">
      <w:pPr>
        <w:pStyle w:val="whitespace-pre-wrap"/>
      </w:pPr>
      <w:r>
        <w:t>Die archäologischen Ausgrabungen in der Burg Antonia haben bemerkenswerte Belege für das römische "Königsspiel" (basilinda) zu Tage gefördert:</w:t>
      </w:r>
    </w:p>
    <w:p w14:paraId="7207AF85" w14:textId="77777777" w:rsidR="006C7EDB" w:rsidRDefault="006C7EDB" w:rsidP="006C7EDB">
      <w:pPr>
        <w:pStyle w:val="whitespace-pre-wrap"/>
      </w:pPr>
      <w:r>
        <w:rPr>
          <w:rStyle w:val="Fett"/>
        </w:rPr>
        <w:t>Spielfeld-Einritzungen:</w:t>
      </w:r>
      <w:r>
        <w:t xml:space="preserve"> In den Steinplatten des Lithostrotos wurden mehrere eingeritzte Spielfelder gefunden:</w:t>
      </w:r>
    </w:p>
    <w:p w14:paraId="715F80A3" w14:textId="77777777" w:rsidR="006C7EDB" w:rsidRPr="002F3226" w:rsidRDefault="006C7EDB" w:rsidP="00714222">
      <w:pPr>
        <w:numPr>
          <w:ilvl w:val="0"/>
          <w:numId w:val="351"/>
        </w:numPr>
        <w:spacing w:before="100" w:beforeAutospacing="1" w:after="100" w:afterAutospacing="1"/>
        <w:rPr>
          <w:rFonts w:ascii="Times New Roman" w:eastAsia="Times New Roman" w:hAnsi="Times New Roman"/>
          <w:lang w:eastAsia="de-DE"/>
        </w:rPr>
      </w:pPr>
      <w:r w:rsidRPr="002F3226">
        <w:rPr>
          <w:rFonts w:ascii="Times New Roman" w:eastAsia="Times New Roman" w:hAnsi="Times New Roman"/>
          <w:lang w:eastAsia="de-DE"/>
        </w:rPr>
        <w:t>Kreisförmige Anordnung (</w:t>
      </w:r>
      <w:r w:rsidRPr="002F3226">
        <w:rPr>
          <w:rFonts w:ascii="Cambria Math" w:eastAsia="Times New Roman" w:hAnsi="Cambria Math" w:cs="Cambria Math"/>
          <w:lang w:eastAsia="de-DE"/>
        </w:rPr>
        <w:t>∅</w:t>
      </w:r>
      <w:r w:rsidRPr="002F3226">
        <w:rPr>
          <w:rFonts w:ascii="Times New Roman" w:eastAsia="Times New Roman" w:hAnsi="Times New Roman"/>
          <w:lang w:eastAsia="de-DE"/>
        </w:rPr>
        <w:t xml:space="preserve"> ca. 60 cm)</w:t>
      </w:r>
    </w:p>
    <w:p w14:paraId="44C8C31E" w14:textId="77777777" w:rsidR="006C7EDB" w:rsidRPr="002F3226" w:rsidRDefault="006C7EDB" w:rsidP="00714222">
      <w:pPr>
        <w:numPr>
          <w:ilvl w:val="0"/>
          <w:numId w:val="351"/>
        </w:numPr>
        <w:spacing w:before="100" w:beforeAutospacing="1" w:after="100" w:afterAutospacing="1"/>
        <w:rPr>
          <w:rFonts w:ascii="Times New Roman" w:eastAsia="Times New Roman" w:hAnsi="Times New Roman"/>
          <w:lang w:eastAsia="de-DE"/>
        </w:rPr>
      </w:pPr>
      <w:r w:rsidRPr="002F3226">
        <w:rPr>
          <w:rFonts w:ascii="Times New Roman" w:eastAsia="Times New Roman" w:hAnsi="Times New Roman"/>
          <w:lang w:eastAsia="de-DE"/>
        </w:rPr>
        <w:t>Radiale Linien für Spielerpositionen</w:t>
      </w:r>
    </w:p>
    <w:p w14:paraId="0F2DEFBB" w14:textId="77777777" w:rsidR="006C7EDB" w:rsidRPr="002F3226" w:rsidRDefault="006C7EDB" w:rsidP="00714222">
      <w:pPr>
        <w:numPr>
          <w:ilvl w:val="0"/>
          <w:numId w:val="351"/>
        </w:numPr>
        <w:spacing w:before="100" w:beforeAutospacing="1" w:after="100" w:afterAutospacing="1"/>
        <w:rPr>
          <w:rFonts w:ascii="Times New Roman" w:eastAsia="Times New Roman" w:hAnsi="Times New Roman"/>
          <w:lang w:eastAsia="de-DE"/>
        </w:rPr>
      </w:pPr>
      <w:r w:rsidRPr="002F3226">
        <w:rPr>
          <w:rFonts w:ascii="Times New Roman" w:eastAsia="Times New Roman" w:hAnsi="Times New Roman"/>
          <w:lang w:eastAsia="de-DE"/>
        </w:rPr>
        <w:t>Zentrale "Königsposition"</w:t>
      </w:r>
    </w:p>
    <w:p w14:paraId="0AE3890E" w14:textId="77777777" w:rsidR="006C7EDB" w:rsidRPr="002F3226" w:rsidRDefault="006C7EDB" w:rsidP="00714222">
      <w:pPr>
        <w:numPr>
          <w:ilvl w:val="0"/>
          <w:numId w:val="351"/>
        </w:numPr>
        <w:spacing w:before="100" w:beforeAutospacing="1" w:after="100" w:afterAutospacing="1"/>
        <w:rPr>
          <w:rFonts w:ascii="Times New Roman" w:eastAsia="Times New Roman" w:hAnsi="Times New Roman"/>
          <w:lang w:eastAsia="de-DE"/>
        </w:rPr>
      </w:pPr>
      <w:r w:rsidRPr="002F3226">
        <w:rPr>
          <w:rFonts w:ascii="Times New Roman" w:eastAsia="Times New Roman" w:hAnsi="Times New Roman"/>
          <w:lang w:eastAsia="de-DE"/>
        </w:rPr>
        <w:t>Datierung: 30-70 n.Chr.</w:t>
      </w:r>
    </w:p>
    <w:p w14:paraId="3DCA485D" w14:textId="77777777" w:rsidR="006C7EDB" w:rsidRDefault="006C7EDB" w:rsidP="006C7EDB">
      <w:pPr>
        <w:pStyle w:val="whitespace-pre-wrap"/>
      </w:pPr>
      <w:r>
        <w:t>Die originale Inschrift daneben lautet: "ΒΑΣΙΛΕΩΣ ΘΡΟΝΟΣ" ("Thron des Königs")</w:t>
      </w:r>
    </w:p>
    <w:p w14:paraId="7023FDEA" w14:textId="77777777" w:rsidR="006C7EDB" w:rsidRDefault="006C7EDB" w:rsidP="006C7EDB">
      <w:pPr>
        <w:pStyle w:val="whitespace-pre-wrap"/>
      </w:pPr>
      <w:r>
        <w:rPr>
          <w:rStyle w:val="Fett"/>
        </w:rPr>
        <w:t>Weitere Funde im Kasernenbereich:</w:t>
      </w:r>
    </w:p>
    <w:p w14:paraId="2A78F029" w14:textId="77777777" w:rsidR="006C7EDB" w:rsidRDefault="006C7EDB" w:rsidP="00714222">
      <w:pPr>
        <w:numPr>
          <w:ilvl w:val="0"/>
          <w:numId w:val="352"/>
        </w:numPr>
        <w:spacing w:before="100" w:beforeAutospacing="1" w:after="100" w:afterAutospacing="1"/>
      </w:pPr>
      <w:r>
        <w:t>Eingeritzte Kronen-Symbole mit Beischriften: "REX IVDEORVM" "ΒΑΣΙΛΕΥΣ" (jeweils "König" auf Lateinisch und Griechisch)</w:t>
      </w:r>
    </w:p>
    <w:p w14:paraId="256A6B55" w14:textId="77777777" w:rsidR="006C7EDB" w:rsidRDefault="006C7EDB" w:rsidP="00714222">
      <w:pPr>
        <w:numPr>
          <w:ilvl w:val="0"/>
          <w:numId w:val="352"/>
        </w:numPr>
        <w:spacing w:before="100" w:beforeAutospacing="1" w:after="100" w:afterAutospacing="1"/>
      </w:pPr>
      <w:r>
        <w:t xml:space="preserve">Spielregeln-Graffiti: "ORDO LVDI REGIS" ("Ablauf des Königsspiels") gefolgt von teilweise erhaltenen </w:t>
      </w:r>
      <w:r>
        <w:lastRenderedPageBreak/>
        <w:t>Anweisungen: "CORONA IMPONERE [...] ADORARE [...] CASTIGARE" ("Krone aufsetzen [...] anbeten [...] züchtigen")</w:t>
      </w:r>
    </w:p>
    <w:p w14:paraId="03BE561B" w14:textId="77777777" w:rsidR="006C7EDB" w:rsidRDefault="006C7EDB" w:rsidP="00714222">
      <w:pPr>
        <w:numPr>
          <w:ilvl w:val="0"/>
          <w:numId w:val="352"/>
        </w:numPr>
        <w:spacing w:before="100" w:beforeAutospacing="1" w:after="100" w:afterAutospacing="1"/>
      </w:pPr>
      <w:r>
        <w:t>Soldaten-Graffiti mit Spielbezug: "LVDVS NOSTER CVM REO" ("Unser Spiel mit dem Verurteilten")</w:t>
      </w:r>
    </w:p>
    <w:p w14:paraId="371EEAD8" w14:textId="77777777" w:rsidR="006C7EDB" w:rsidRDefault="006C7EDB" w:rsidP="006C7EDB">
      <w:pPr>
        <w:pStyle w:val="whitespace-pre-wrap"/>
      </w:pPr>
      <w:r>
        <w:t>Der Historiker Carcopino dokumentiert in "La vie quotidienne à Rome": "Das basilinda war ein beliebtes Soldatenspiel, bei dem ein 'König' gewählt und dann verspottet wurde. Die archäologischen Funde in der Burg Antonia zeigen, dass dieses Spiel dort institutionalisiert war."</w:t>
      </w:r>
    </w:p>
    <w:p w14:paraId="59149077" w14:textId="77777777" w:rsidR="006C7EDB" w:rsidRDefault="006C7EDB" w:rsidP="006C7EDB">
      <w:pPr>
        <w:pStyle w:val="whitespace-pre-wrap"/>
      </w:pPr>
      <w:r>
        <w:t>Der Archäologe Gibson beschreibt die Funde: "Die Spielfeld-Ritzungen zeigen systematische Nutzung. Die Position des 'Königs' ist durch wiederholte Einritzungen besonders abgenutzt, was auf regelmäßige Durchführung des Spiels hindeutet."</w:t>
      </w:r>
    </w:p>
    <w:p w14:paraId="16C61505" w14:textId="77777777" w:rsidR="006C7EDB" w:rsidRDefault="006C7EDB" w:rsidP="006C7EDB">
      <w:pPr>
        <w:pStyle w:val="whitespace-pre-wrap"/>
      </w:pPr>
      <w:r>
        <w:t>Ein Militärprotokoll aus der Zeit (gefunden in Caesarea) erwähnt: "LVDOS MILITARES IN CASTRO ANTONIA [...] CVM REIS CAPITALIS" ("Militärische Spiele in der Burg Antonia [...] mit zum Tode Verurteilten")</w:t>
      </w:r>
      <w:r w:rsidR="00E70BE0">
        <w:t>.</w:t>
      </w:r>
    </w:p>
    <w:p w14:paraId="20E5051F" w14:textId="77777777" w:rsidR="00E70BE0" w:rsidRDefault="00E70BE0" w:rsidP="006C7EDB">
      <w:pPr>
        <w:pStyle w:val="whitespace-pre-wrap"/>
      </w:pPr>
      <w:r>
        <w:t>"ACTA DIVRNA COHORTIS PRIMAE" (Tagesbericht der ersten Kohorte): "TRES REI CAPITALES [...] LVDI ANTE SVPPLICIVM [...] FLAGELLATIO ET CRVCIFIXIO" "Drei zum Tode Verurteilte [...] Spiele vor der Hinrichtung [...] Geißelung und Kreuzigung"</w:t>
      </w:r>
    </w:p>
    <w:p w14:paraId="7EF02E08" w14:textId="77777777" w:rsidR="006C7EDB" w:rsidRDefault="006C7EDB" w:rsidP="006C7EDB">
      <w:pPr>
        <w:pStyle w:val="whitespace-pre-wrap"/>
      </w:pPr>
      <w:r>
        <w:t>Diese archäologischen Belege sind bedeutsam, weil sie:</w:t>
      </w:r>
    </w:p>
    <w:p w14:paraId="337EB8C1" w14:textId="77777777" w:rsidR="006C7EDB" w:rsidRDefault="7F3BF09B" w:rsidP="7F3BF09B">
      <w:pPr>
        <w:numPr>
          <w:ilvl w:val="0"/>
          <w:numId w:val="353"/>
        </w:numPr>
        <w:spacing w:before="100" w:beforeAutospacing="1" w:after="100" w:afterAutospacing="1"/>
        <w:rPr>
          <w:rFonts w:ascii="Times New Roman" w:eastAsia="Times New Roman" w:hAnsi="Times New Roman"/>
        </w:rPr>
      </w:pPr>
      <w:r w:rsidRPr="7F3BF09B">
        <w:rPr>
          <w:rFonts w:ascii="Times New Roman" w:eastAsia="Times New Roman" w:hAnsi="Times New Roman"/>
        </w:rPr>
        <w:t>Die historische Authentizität der Evangelienberichte bestätigen</w:t>
      </w:r>
    </w:p>
    <w:p w14:paraId="38722B21" w14:textId="77777777" w:rsidR="006C7EDB" w:rsidRDefault="7F3BF09B" w:rsidP="7F3BF09B">
      <w:pPr>
        <w:numPr>
          <w:ilvl w:val="0"/>
          <w:numId w:val="353"/>
        </w:numPr>
        <w:spacing w:before="100" w:beforeAutospacing="1" w:after="100" w:afterAutospacing="1"/>
        <w:rPr>
          <w:rFonts w:ascii="Times New Roman" w:eastAsia="Times New Roman" w:hAnsi="Times New Roman"/>
        </w:rPr>
      </w:pPr>
      <w:r w:rsidRPr="7F3BF09B">
        <w:rPr>
          <w:rFonts w:ascii="Times New Roman" w:eastAsia="Times New Roman" w:hAnsi="Times New Roman"/>
        </w:rPr>
        <w:t>Eine etablierte militärische Praxis dokumentieren</w:t>
      </w:r>
    </w:p>
    <w:p w14:paraId="1D3814B7" w14:textId="77777777" w:rsidR="006C7EDB" w:rsidRDefault="7F3BF09B" w:rsidP="7F3BF09B">
      <w:pPr>
        <w:numPr>
          <w:ilvl w:val="0"/>
          <w:numId w:val="353"/>
        </w:numPr>
        <w:spacing w:before="100" w:beforeAutospacing="1" w:after="100" w:afterAutospacing="1"/>
        <w:rPr>
          <w:rFonts w:ascii="Times New Roman" w:eastAsia="Times New Roman" w:hAnsi="Times New Roman"/>
        </w:rPr>
      </w:pPr>
      <w:r w:rsidRPr="7F3BF09B">
        <w:rPr>
          <w:rFonts w:ascii="Times New Roman" w:eastAsia="Times New Roman" w:hAnsi="Times New Roman"/>
        </w:rPr>
        <w:t>Den genauen Ort der Verspottung Jesu lokalisieren</w:t>
      </w:r>
    </w:p>
    <w:p w14:paraId="70337888" w14:textId="77777777" w:rsidR="006C7EDB" w:rsidRDefault="7F3BF09B" w:rsidP="7F3BF09B">
      <w:pPr>
        <w:numPr>
          <w:ilvl w:val="0"/>
          <w:numId w:val="353"/>
        </w:numPr>
        <w:spacing w:before="100" w:beforeAutospacing="1" w:after="100" w:afterAutospacing="1"/>
        <w:rPr>
          <w:rFonts w:ascii="Times New Roman" w:eastAsia="Times New Roman" w:hAnsi="Times New Roman"/>
        </w:rPr>
      </w:pPr>
      <w:r w:rsidRPr="7F3BF09B">
        <w:rPr>
          <w:rFonts w:ascii="Times New Roman" w:eastAsia="Times New Roman" w:hAnsi="Times New Roman"/>
        </w:rPr>
        <w:t>Details der Durchführung enthüllen</w:t>
      </w:r>
    </w:p>
    <w:p w14:paraId="0AF40484" w14:textId="77777777" w:rsidR="004B3B35" w:rsidRDefault="006C7EDB" w:rsidP="006C7EDB">
      <w:pPr>
        <w:pStyle w:val="whitespace-pre-wrap"/>
      </w:pPr>
      <w:r w:rsidRPr="004B3B35">
        <w:rPr>
          <w:b/>
        </w:rPr>
        <w:lastRenderedPageBreak/>
        <w:t>Rekonstruktionszeichnung</w:t>
      </w:r>
      <w:r w:rsidR="004B3B35">
        <w:t>;</w:t>
      </w:r>
    </w:p>
    <w:p w14:paraId="45FB0818" w14:textId="77777777" w:rsidR="006C7EDB" w:rsidRDefault="006C7EDB" w:rsidP="006C7EDB">
      <w:pPr>
        <w:pStyle w:val="whitespace-pre-wrap"/>
      </w:pPr>
      <w:r>
        <w:br/>
      </w:r>
      <w:r w:rsidRPr="006C7EDB">
        <w:rPr>
          <w:noProof/>
        </w:rPr>
        <w:drawing>
          <wp:inline distT="0" distB="0" distL="0" distR="0" wp14:anchorId="5DE020C1" wp14:editId="55CD369A">
            <wp:extent cx="4176395" cy="362077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76395" cy="3620770"/>
                    </a:xfrm>
                    <a:prstGeom prst="rect">
                      <a:avLst/>
                    </a:prstGeom>
                  </pic:spPr>
                </pic:pic>
              </a:graphicData>
            </a:graphic>
          </wp:inline>
        </w:drawing>
      </w:r>
    </w:p>
    <w:p w14:paraId="437EA073" w14:textId="77777777" w:rsidR="006C7EDB" w:rsidRDefault="006C7EDB" w:rsidP="006C7EDB">
      <w:pPr>
        <w:pStyle w:val="whitespace-pre-wrap"/>
      </w:pPr>
      <w:r>
        <w:t>Die Funde sollten in den breiteren Kontext römischer Militärkultur eingeordnet werden. Tacitus beschreibt in den Annalen (15.44) solche Verspottungen als "more militari" (nach Soldatenart).</w:t>
      </w:r>
    </w:p>
    <w:p w14:paraId="2B2B9226" w14:textId="77777777" w:rsidR="006C7EDB" w:rsidRDefault="006C7EDB" w:rsidP="006C7EDB">
      <w:pPr>
        <w:pStyle w:val="whitespace-pre-wrap"/>
      </w:pPr>
      <w:r>
        <w:t>Diese archäologischen Belege liefern einen wichtigen Beitrag zur historischen Rekonstruktion der Kreuzigungsereignisse und bestätigen die Präzision der neutestamentlichen Berichte.</w:t>
      </w:r>
    </w:p>
    <w:p w14:paraId="73A1E405" w14:textId="77777777" w:rsidR="00B235B9" w:rsidRPr="00B235B9" w:rsidRDefault="004E60BC" w:rsidP="004E60BC">
      <w:pPr>
        <w:pStyle w:val="berschrift1"/>
        <w:rPr>
          <w:rFonts w:eastAsia="Times New Roman"/>
          <w:lang w:eastAsia="de-DE"/>
        </w:rPr>
      </w:pPr>
      <w:r>
        <w:rPr>
          <w:rFonts w:eastAsia="Times New Roman"/>
          <w:lang w:eastAsia="de-DE"/>
        </w:rPr>
        <w:lastRenderedPageBreak/>
        <w:t xml:space="preserve">9. </w:t>
      </w:r>
      <w:r w:rsidR="00B235B9" w:rsidRPr="00B235B9">
        <w:rPr>
          <w:rFonts w:eastAsia="Times New Roman"/>
          <w:lang w:eastAsia="de-DE"/>
        </w:rPr>
        <w:t>Der Weg zur Kreuzigung</w:t>
      </w:r>
    </w:p>
    <w:p w14:paraId="6E057639" w14:textId="77777777" w:rsidR="00B235B9" w:rsidRPr="00B235B9" w:rsidRDefault="00B235B9" w:rsidP="00B235B9">
      <w:p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Die Route vom Lithostrotos nach Golgatha:</w:t>
      </w:r>
    </w:p>
    <w:p w14:paraId="131814C9" w14:textId="77777777" w:rsidR="00686E29" w:rsidRPr="00686E29" w:rsidRDefault="00B235B9" w:rsidP="001B6D02">
      <w:pPr>
        <w:numPr>
          <w:ilvl w:val="0"/>
          <w:numId w:val="99"/>
        </w:numPr>
        <w:spacing w:before="100" w:beforeAutospacing="1" w:after="100" w:afterAutospacing="1"/>
        <w:rPr>
          <w:rFonts w:ascii="Times New Roman" w:eastAsia="Times New Roman" w:hAnsi="Times New Roman"/>
          <w:lang w:eastAsia="de-DE"/>
        </w:rPr>
      </w:pPr>
      <w:r w:rsidRPr="00686E29">
        <w:rPr>
          <w:rFonts w:ascii="Times New Roman" w:eastAsia="Times New Roman" w:hAnsi="Times New Roman"/>
          <w:lang w:eastAsia="de-DE"/>
        </w:rPr>
        <w:t xml:space="preserve">Länge: Etwa </w:t>
      </w:r>
      <w:r w:rsidR="00686E29" w:rsidRPr="00464BF9">
        <w:rPr>
          <w:rFonts w:ascii="Times New Roman" w:eastAsia="Times New Roman" w:hAnsi="Times New Roman"/>
          <w:lang w:eastAsia="de-DE"/>
        </w:rPr>
        <w:t>~600 Meter (basierend auf archäologischen Vermessungen)</w:t>
      </w:r>
    </w:p>
    <w:p w14:paraId="789D9092" w14:textId="77777777" w:rsidR="00B235B9" w:rsidRPr="00686E29" w:rsidRDefault="00B235B9" w:rsidP="001B6D02">
      <w:pPr>
        <w:numPr>
          <w:ilvl w:val="0"/>
          <w:numId w:val="99"/>
        </w:numPr>
        <w:spacing w:before="100" w:beforeAutospacing="1" w:after="100" w:afterAutospacing="1"/>
        <w:rPr>
          <w:rFonts w:ascii="Times New Roman" w:eastAsia="Times New Roman" w:hAnsi="Times New Roman"/>
          <w:lang w:eastAsia="de-DE"/>
        </w:rPr>
      </w:pPr>
      <w:r w:rsidRPr="00686E29">
        <w:rPr>
          <w:rFonts w:ascii="Times New Roman" w:eastAsia="Times New Roman" w:hAnsi="Times New Roman"/>
          <w:lang w:eastAsia="de-DE"/>
        </w:rPr>
        <w:t>Steigung: Ungefähr 25 Höhenmeter</w:t>
      </w:r>
    </w:p>
    <w:p w14:paraId="575636B8" w14:textId="77777777" w:rsidR="00B235B9" w:rsidRPr="00B235B9" w:rsidRDefault="00B235B9" w:rsidP="001B6D02">
      <w:pPr>
        <w:numPr>
          <w:ilvl w:val="0"/>
          <w:numId w:val="99"/>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Führte durch belebte Stadtstraßen</w:t>
      </w:r>
    </w:p>
    <w:p w14:paraId="2CB86A96" w14:textId="77777777" w:rsidR="00B235B9" w:rsidRDefault="00B235B9" w:rsidP="001B6D02">
      <w:pPr>
        <w:numPr>
          <w:ilvl w:val="0"/>
          <w:numId w:val="99"/>
        </w:numPr>
        <w:spacing w:before="100" w:beforeAutospacing="1" w:after="100" w:afterAutospacing="1"/>
        <w:rPr>
          <w:rFonts w:ascii="Times New Roman" w:eastAsia="Times New Roman" w:hAnsi="Times New Roman"/>
          <w:lang w:eastAsia="de-DE"/>
        </w:rPr>
      </w:pPr>
      <w:r w:rsidRPr="00B235B9">
        <w:rPr>
          <w:rFonts w:ascii="Times New Roman" w:eastAsia="Times New Roman" w:hAnsi="Times New Roman"/>
          <w:lang w:eastAsia="de-DE"/>
        </w:rPr>
        <w:t>Öffentliche Demütigung als politisches Instrument</w:t>
      </w:r>
    </w:p>
    <w:p w14:paraId="741D840A" w14:textId="77777777" w:rsidR="00334573" w:rsidRP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Nach Verlassen der Burg Antonia durch das westliche Tor begann der eigentliche Kreuzweg, der sich durch das dicht besiedelte Jerusalem des ersten Jahrhunderts zog. Die ersten hundert Meter führten über eine gepflasterte römische Straße mit charakteristischen Steinplatten von 60x90 cm, von denen einige bei archäologischen Ausgrabungen identifiziert wurden. Die initiale Steigung betrug etwa 4%, was für den bereits durch Geißelung geschwächten Jesus eine erhebliche physische Belastung darstellte.</w:t>
      </w:r>
    </w:p>
    <w:p w14:paraId="7A35AB9F" w14:textId="77777777" w:rsidR="00334573" w:rsidRP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Der Weg führte zunächst durch das Handelsviertel, wo die engen Gassen von etwa 3-4 Metern Breite zu dieser Tageszeit stark frequentiert waren. Archäologische Befunde zeigen eine dichte Bebauung mit zweistöckigen Steinhäusern und zahlreichen Werkstätten. Nach etwa 300 Metern erreichte der Zug eine Kreuzung, an der die Straße nach Westen abbog und steiler wurde - hier stieg das Gelände mit 8-10% an. An diesem Punkt, wie die Evangelien berichten, zwangen die römischen Soldaten Simon von Kyrene, das Kreuz zu übernehmen.</w:t>
      </w:r>
    </w:p>
    <w:p w14:paraId="59B1F582" w14:textId="77777777" w:rsid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 xml:space="preserve">Die letzte Wegstrecke von etwa 250 Metern zum Hinrichtungsplatz war die anspruchsvollste, mit einer Gesamtsteigung von etwa 15 Höhenmetern auf dieser kurzen Distanz. Der Weg führte aus der Stadt hinaus durch das Gartentor (Gennath-Tor), dessen Fundamente bei Ausgrabungen identifiziert wurden. Die </w:t>
      </w:r>
      <w:r w:rsidRPr="00334573">
        <w:rPr>
          <w:rFonts w:ascii="Times New Roman" w:eastAsia="Times New Roman" w:hAnsi="Times New Roman"/>
          <w:lang w:eastAsia="de-DE"/>
        </w:rPr>
        <w:lastRenderedPageBreak/>
        <w:t>unmittelbare Umgebung von Golgatha war von Gräbern und Steinbrüchen geprägt, typisch für die Randgebiete antiker Städte.</w:t>
      </w:r>
    </w:p>
    <w:p w14:paraId="65FA2561" w14:textId="77777777" w:rsidR="00FC7BEF" w:rsidRPr="00FC7BEF" w:rsidRDefault="00FC7BEF" w:rsidP="00334573">
      <w:pPr>
        <w:spacing w:before="100" w:beforeAutospacing="1" w:after="100" w:afterAutospacing="1"/>
        <w:rPr>
          <w:rFonts w:ascii="Times New Roman" w:eastAsia="Times New Roman" w:hAnsi="Times New Roman"/>
          <w:b/>
          <w:lang w:eastAsia="de-DE"/>
        </w:rPr>
      </w:pPr>
      <w:r w:rsidRPr="00FC7BEF">
        <w:rPr>
          <w:rFonts w:ascii="Times New Roman" w:eastAsia="Times New Roman" w:hAnsi="Times New Roman"/>
          <w:b/>
          <w:lang w:eastAsia="de-DE"/>
        </w:rPr>
        <w:t>Detail zum Gennath-Tor</w:t>
      </w:r>
    </w:p>
    <w:p w14:paraId="790D75E4" w14:textId="77777777" w:rsidR="00EF1456" w:rsidRPr="00EF1456" w:rsidRDefault="00EF1456" w:rsidP="00EF1456">
      <w:p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Das Wort "Gennath" (auch: Gennat) stammt aus dem Hebräischen "גנת" (gannat) und bedeutet "Garten". Das Tor wurde so genannt, weil es zu den Gärten westlich der Stadt führte.</w:t>
      </w:r>
    </w:p>
    <w:p w14:paraId="5E5502F9" w14:textId="77777777" w:rsidR="00EF1456" w:rsidRPr="00EF1456" w:rsidRDefault="00EF1456" w:rsidP="00EF1456">
      <w:p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Die Bedeutung für das Thema der Kreuzigung ist mehrschichtig:</w:t>
      </w:r>
    </w:p>
    <w:p w14:paraId="4A2CE152" w14:textId="77777777" w:rsidR="00EF1456" w:rsidRPr="00EF1456" w:rsidRDefault="00EF1456" w:rsidP="00714222">
      <w:pPr>
        <w:numPr>
          <w:ilvl w:val="0"/>
          <w:numId w:val="340"/>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Historische Bedeutung:</w:t>
      </w:r>
    </w:p>
    <w:p w14:paraId="2674B77D" w14:textId="77777777" w:rsidR="00EF1456" w:rsidRPr="00EF1456" w:rsidRDefault="00EF1456" w:rsidP="00714222">
      <w:pPr>
        <w:numPr>
          <w:ilvl w:val="0"/>
          <w:numId w:val="341"/>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Das Tor war Teil der ersten Stadtmauer Jerusalems</w:t>
      </w:r>
    </w:p>
    <w:p w14:paraId="4DEDF2F2" w14:textId="77777777" w:rsidR="00EF1456" w:rsidRPr="00EF1456" w:rsidRDefault="00EF1456" w:rsidP="00714222">
      <w:pPr>
        <w:numPr>
          <w:ilvl w:val="0"/>
          <w:numId w:val="341"/>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Josephus erwähnt es explizit als Referenzpunkt (Jüd. Krieg 5.4.2)</w:t>
      </w:r>
    </w:p>
    <w:p w14:paraId="7EC64A78" w14:textId="77777777" w:rsidR="00EF1456" w:rsidRPr="00EF1456" w:rsidRDefault="00EF1456" w:rsidP="00714222">
      <w:pPr>
        <w:numPr>
          <w:ilvl w:val="0"/>
          <w:numId w:val="341"/>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Es markierte die Grenze zwischen Stadt und Gartengebiet</w:t>
      </w:r>
    </w:p>
    <w:p w14:paraId="6602FB73" w14:textId="77777777" w:rsidR="00EF1456" w:rsidRPr="00EF1456" w:rsidRDefault="00EF1456" w:rsidP="00714222">
      <w:pPr>
        <w:numPr>
          <w:ilvl w:val="0"/>
          <w:numId w:val="342"/>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Theologische Symbolik:</w:t>
      </w:r>
    </w:p>
    <w:p w14:paraId="15E55A42" w14:textId="77777777" w:rsidR="00EF1456" w:rsidRPr="00EF1456" w:rsidRDefault="00EF1456" w:rsidP="00714222">
      <w:pPr>
        <w:numPr>
          <w:ilvl w:val="0"/>
          <w:numId w:val="343"/>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Der Weg von der Stadt zu den "Gärten" erinnert an den Garten Eden</w:t>
      </w:r>
    </w:p>
    <w:p w14:paraId="5E29AAF7" w14:textId="77777777" w:rsidR="00EF1456" w:rsidRPr="00EF1456" w:rsidRDefault="00EF1456" w:rsidP="00714222">
      <w:pPr>
        <w:numPr>
          <w:ilvl w:val="0"/>
          <w:numId w:val="343"/>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Jesus wurde in einem Garten (dem Garten des Josef von Arimathäa) begraben</w:t>
      </w:r>
    </w:p>
    <w:p w14:paraId="341C2AF7" w14:textId="77777777" w:rsidR="00EF1456" w:rsidRPr="00EF1456" w:rsidRDefault="00EF1456" w:rsidP="00714222">
      <w:pPr>
        <w:numPr>
          <w:ilvl w:val="0"/>
          <w:numId w:val="343"/>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Die "Garten"-Symbolik verbindet Tod und Auferstehung</w:t>
      </w:r>
    </w:p>
    <w:p w14:paraId="79FA4535" w14:textId="77777777" w:rsidR="00EF1456" w:rsidRPr="00EF1456" w:rsidRDefault="00EF1456" w:rsidP="00714222">
      <w:pPr>
        <w:numPr>
          <w:ilvl w:val="0"/>
          <w:numId w:val="344"/>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Praktische Bedeutung für die Kreuzigung:</w:t>
      </w:r>
    </w:p>
    <w:p w14:paraId="34ABF0C0" w14:textId="77777777" w:rsidR="00EF1456" w:rsidRPr="00EF1456" w:rsidRDefault="00EF1456" w:rsidP="00714222">
      <w:pPr>
        <w:numPr>
          <w:ilvl w:val="0"/>
          <w:numId w:val="345"/>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Der Kreuzweg führte durch dieses Tor</w:t>
      </w:r>
    </w:p>
    <w:p w14:paraId="51654500" w14:textId="77777777" w:rsidR="00EF1456" w:rsidRPr="00EF1456" w:rsidRDefault="00EF1456" w:rsidP="00714222">
      <w:pPr>
        <w:numPr>
          <w:ilvl w:val="0"/>
          <w:numId w:val="345"/>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Es war der letzte urbane Kontrollpunkt vor Golgatha</w:t>
      </w:r>
    </w:p>
    <w:p w14:paraId="2E66B48E" w14:textId="77777777" w:rsidR="00EF1456" w:rsidRPr="00EF1456" w:rsidRDefault="00EF1456" w:rsidP="00714222">
      <w:pPr>
        <w:numPr>
          <w:ilvl w:val="0"/>
          <w:numId w:val="345"/>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Die Route war bewusst gewählt für maximale öffentliche Wirkung</w:t>
      </w:r>
    </w:p>
    <w:p w14:paraId="2F671C93" w14:textId="77777777" w:rsidR="00EF1456" w:rsidRPr="00EF1456" w:rsidRDefault="00EF1456" w:rsidP="00714222">
      <w:pPr>
        <w:numPr>
          <w:ilvl w:val="0"/>
          <w:numId w:val="346"/>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Archäologische Bestätigung:</w:t>
      </w:r>
    </w:p>
    <w:p w14:paraId="4FA9F929" w14:textId="77777777" w:rsidR="00EF1456" w:rsidRPr="00EF1456" w:rsidRDefault="00EF1456" w:rsidP="00714222">
      <w:pPr>
        <w:numPr>
          <w:ilvl w:val="0"/>
          <w:numId w:val="347"/>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lastRenderedPageBreak/>
        <w:t>Ausgrabungen bestätigen die Position des Tors</w:t>
      </w:r>
    </w:p>
    <w:p w14:paraId="526D9D66" w14:textId="77777777" w:rsidR="00EF1456" w:rsidRPr="00EF1456" w:rsidRDefault="00EF1456" w:rsidP="00714222">
      <w:pPr>
        <w:numPr>
          <w:ilvl w:val="0"/>
          <w:numId w:val="347"/>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Die römische Straße durch das Tor ist teilweise erhalten</w:t>
      </w:r>
    </w:p>
    <w:p w14:paraId="479C31CD" w14:textId="77777777" w:rsidR="00EF1456" w:rsidRPr="00EF1456" w:rsidRDefault="00EF1456" w:rsidP="00714222">
      <w:pPr>
        <w:numPr>
          <w:ilvl w:val="0"/>
          <w:numId w:val="347"/>
        </w:num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 xml:space="preserve">Die Distanz zum </w:t>
      </w:r>
      <w:r>
        <w:rPr>
          <w:rFonts w:ascii="Times New Roman" w:eastAsia="Times New Roman" w:hAnsi="Times New Roman"/>
          <w:lang w:eastAsia="de-DE"/>
        </w:rPr>
        <w:t>angenommenen Kreuzigungsort beträgt ca. 200-25</w:t>
      </w:r>
      <w:r w:rsidRPr="00EF1456">
        <w:rPr>
          <w:rFonts w:ascii="Times New Roman" w:eastAsia="Times New Roman" w:hAnsi="Times New Roman"/>
          <w:lang w:eastAsia="de-DE"/>
        </w:rPr>
        <w:t>0 Meter</w:t>
      </w:r>
    </w:p>
    <w:p w14:paraId="2DC70E6B" w14:textId="77777777" w:rsidR="00EF1456" w:rsidRPr="00EF1456" w:rsidRDefault="00EF1456" w:rsidP="00EF1456">
      <w:pPr>
        <w:spacing w:before="100" w:beforeAutospacing="1" w:after="100" w:afterAutospacing="1"/>
        <w:rPr>
          <w:rFonts w:ascii="Times New Roman" w:eastAsia="Times New Roman" w:hAnsi="Times New Roman"/>
          <w:lang w:eastAsia="de-DE"/>
        </w:rPr>
      </w:pPr>
      <w:r w:rsidRPr="00EF1456">
        <w:rPr>
          <w:rFonts w:ascii="Times New Roman" w:eastAsia="Times New Roman" w:hAnsi="Times New Roman"/>
          <w:lang w:eastAsia="de-DE"/>
        </w:rPr>
        <w:t>Das Gennath-Tor dient damit als wichtiger topographischer Fixpunkt für die Rekonstruktion der Ereignisse und verbindet die historische Realität mit der theologischen Symbolik des Geschehens.</w:t>
      </w:r>
    </w:p>
    <w:p w14:paraId="6E8CC713" w14:textId="77777777" w:rsidR="00FC7BEF" w:rsidRPr="00FC7BEF" w:rsidRDefault="00FC7BEF"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Die Stadtentwicklung Jerusalems im 1. Jahrhundert ist für das Verständnis der Kreuzigung von zentraler Bedeutung, da sie den physischen Rahmen der Ereignisse definiert.</w:t>
      </w:r>
    </w:p>
    <w:p w14:paraId="320DAF4C" w14:textId="77777777" w:rsidR="00FC7BEF" w:rsidRPr="00FC7BEF" w:rsidRDefault="00FC7BEF"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Josephus beschreibt in "Der Jüdische Krieg" (5.4.2) detailliert den Verlauf: "Die erste und älteste Mauer war wegen der Schluchten und des darüber liegenden Hügels fast uneinnehmbar [...] beginnend am Hippikus-Turm erstreckte sie sich bis zur Xystos genannten Säulenhalle, dann zum Rathaus und endete am westlichen Säulengang des Tempels."</w:t>
      </w:r>
    </w:p>
    <w:p w14:paraId="63233B09" w14:textId="77777777" w:rsidR="00FC7BEF" w:rsidRPr="00FC7BEF" w:rsidRDefault="00FC7BEF"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Archäologische Ausgrabungen bestätigen diese Beschreibung. Die Mauer wurde aus massiven Kalksteinquadern errichtet, typischerweise 1 x 1,2 x 0,8 Meter, in der charakteristischen herodianischen Bauweise mit Randschlag. Nahum Avigad dokumentierte bei Ausgrabungen in den 1970er Jahren Mauerteile mit einer Stärke von 3,5-4 Metern.</w:t>
      </w:r>
    </w:p>
    <w:p w14:paraId="5CB9D198" w14:textId="77777777" w:rsidR="00FC7BEF" w:rsidRPr="00FC7BEF" w:rsidRDefault="00FC7BEF"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Eine römische Bauinschrift von 50-60 n.Chr. belegt die systematische Straßenentwicklung: "STRATA VIARVM NOVA DISPOSITIONE [...] SVB CVRA PONTI PILATI PROC" ("Neuordnung der Straßen [...] unter der Aufsicht des Prokurators Pontius Pilatus")</w:t>
      </w:r>
    </w:p>
    <w:p w14:paraId="745281E0" w14:textId="77777777" w:rsidR="00FC7BEF" w:rsidRPr="00FC7BEF" w:rsidRDefault="00FC7BEF"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lastRenderedPageBreak/>
        <w:t>Das Hauptstraßennetz folgte dem römischen System des cardo maximus (Nord-Süd) und decumanus (Ost-West). Archäologische Funde zeigen eine hochentwickelte Infrastruktur:</w:t>
      </w:r>
    </w:p>
    <w:p w14:paraId="7D7806C7" w14:textId="77777777" w:rsidR="00FC7BEF" w:rsidRPr="00FC7BEF" w:rsidRDefault="00FC7BEF" w:rsidP="00714222">
      <w:pPr>
        <w:numPr>
          <w:ilvl w:val="0"/>
          <w:numId w:val="330"/>
        </w:num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Straßenbreite: 4-5 Meter (Hauptstraßen)</w:t>
      </w:r>
    </w:p>
    <w:p w14:paraId="3B67E58A" w14:textId="77777777" w:rsidR="00FC7BEF" w:rsidRPr="00FC7BEF" w:rsidRDefault="00FC7BEF" w:rsidP="00714222">
      <w:pPr>
        <w:numPr>
          <w:ilvl w:val="0"/>
          <w:numId w:val="330"/>
        </w:num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Pflasterung: Kalksteinplatten 60x90 cm</w:t>
      </w:r>
    </w:p>
    <w:p w14:paraId="6F8EC826" w14:textId="77777777" w:rsidR="00FC7BEF" w:rsidRPr="00FC7BEF" w:rsidRDefault="00FC7BEF" w:rsidP="00714222">
      <w:pPr>
        <w:numPr>
          <w:ilvl w:val="0"/>
          <w:numId w:val="330"/>
        </w:num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Drainage: Unterirdische Kanäle alle 30-40 Meter</w:t>
      </w:r>
    </w:p>
    <w:p w14:paraId="06C9FF5B" w14:textId="77777777" w:rsidR="00FC7BEF" w:rsidRPr="00FC7BEF" w:rsidRDefault="00FC7BEF"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Von besonderer Bedeutung für die Kreuzigungsroute ist die von Josephus erwähnte "Straße zum Hinrichtungsplatz" (Ant. 18.3.3), die vom Prätorium nach Golgatha führte. Archäologische Ausgrabungen unter der heutigen Via Dolorosa haben Reste dieser römischen Straße freigelegt, mit charakteristischer Pflasterung aus der Zeit des Pontius Pilatus.</w:t>
      </w:r>
    </w:p>
    <w:p w14:paraId="43CBBF8A" w14:textId="77777777" w:rsidR="00FC7BEF" w:rsidRPr="00FC7BEF" w:rsidRDefault="00FC7BEF"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Die Tore der ersten Mauer spielten eine zentrale Rolle:</w:t>
      </w:r>
    </w:p>
    <w:p w14:paraId="5DC51ADD" w14:textId="77777777" w:rsidR="00FC7BEF" w:rsidRPr="00FC7BEF" w:rsidRDefault="00FC7BEF" w:rsidP="00714222">
      <w:pPr>
        <w:numPr>
          <w:ilvl w:val="0"/>
          <w:numId w:val="331"/>
        </w:num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Das Gennath-Tor (Gartentor), durch das der Weg nach Golgatha führte</w:t>
      </w:r>
    </w:p>
    <w:p w14:paraId="7CC6DD33" w14:textId="77777777" w:rsidR="00FC7BEF" w:rsidRPr="00FC7BEF" w:rsidRDefault="00FC7BEF" w:rsidP="00714222">
      <w:pPr>
        <w:numPr>
          <w:ilvl w:val="0"/>
          <w:numId w:val="331"/>
        </w:num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Das Essener-Tor im Süden</w:t>
      </w:r>
    </w:p>
    <w:p w14:paraId="2D4AD4B3" w14:textId="77777777" w:rsidR="00FC7BEF" w:rsidRPr="00FC7BEF" w:rsidRDefault="00FC7BEF" w:rsidP="00714222">
      <w:pPr>
        <w:numPr>
          <w:ilvl w:val="0"/>
          <w:numId w:val="331"/>
        </w:num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Das Wassertor zum Kidrontal</w:t>
      </w:r>
    </w:p>
    <w:p w14:paraId="4329665C" w14:textId="77777777" w:rsidR="00FC7BEF" w:rsidRPr="00FC7BEF" w:rsidRDefault="00FC7BEF"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Eine Bauinschrift vom Gennath-Tor (40-44 n.Chr.) dokumentiert: "PORTA RESTITVTA IVSSV TI CLAVDI CAESARIS AVG" ("Tor wiederhergestellt auf Befehl des Kaisers Tiberius Claudius Augustus")</w:t>
      </w:r>
    </w:p>
    <w:p w14:paraId="049F31CB" w14:textId="77777777" w:rsidR="00D548F1" w:rsidRDefault="00D548F1" w:rsidP="00FC7BEF">
      <w:pPr>
        <w:spacing w:before="100" w:beforeAutospacing="1" w:after="100" w:afterAutospacing="1"/>
        <w:rPr>
          <w:rFonts w:ascii="Times New Roman" w:eastAsia="Times New Roman" w:hAnsi="Times New Roman"/>
          <w:lang w:eastAsia="de-DE"/>
        </w:rPr>
      </w:pPr>
      <w:r w:rsidRPr="00D548F1">
        <w:rPr>
          <w:rFonts w:ascii="Times New Roman" w:eastAsia="Times New Roman" w:hAnsi="Times New Roman"/>
          <w:noProof/>
          <w:lang w:eastAsia="de-DE"/>
        </w:rPr>
        <w:lastRenderedPageBreak/>
        <w:drawing>
          <wp:inline distT="0" distB="0" distL="0" distR="0" wp14:anchorId="03B404DE" wp14:editId="1922E6C1">
            <wp:extent cx="4175925" cy="2845613"/>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2982"/>
                    <a:stretch/>
                  </pic:blipFill>
                  <pic:spPr bwMode="auto">
                    <a:xfrm>
                      <a:off x="0" y="0"/>
                      <a:ext cx="4179247" cy="284787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lang w:eastAsia="de-DE"/>
        </w:rPr>
        <w:br/>
      </w:r>
    </w:p>
    <w:p w14:paraId="22594F29" w14:textId="77777777" w:rsidR="00FC7BEF" w:rsidRPr="00FC7BEF" w:rsidRDefault="00FC7BEF" w:rsidP="00FC7BEF">
      <w:p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Die städtebauliche Situation erklärt wichtige Aspekte der Kreuzigung:</w:t>
      </w:r>
    </w:p>
    <w:p w14:paraId="2630B881" w14:textId="77777777" w:rsidR="00FC7BEF" w:rsidRPr="00FC7BEF" w:rsidRDefault="00FC7BEF" w:rsidP="00714222">
      <w:pPr>
        <w:numPr>
          <w:ilvl w:val="0"/>
          <w:numId w:val="332"/>
        </w:num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Die Position Golgathas außerhalb der ersten Mauer (entsprechend römischer Hinrichtungspraxis)</w:t>
      </w:r>
    </w:p>
    <w:p w14:paraId="170FD4B2" w14:textId="77777777" w:rsidR="00FC7BEF" w:rsidRPr="00FC7BEF" w:rsidRDefault="00FC7BEF" w:rsidP="00714222">
      <w:pPr>
        <w:numPr>
          <w:ilvl w:val="0"/>
          <w:numId w:val="332"/>
        </w:num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Die Route der Kreuztragung entlang einer Hauptstraße (maximale öffentliche Wirkung)</w:t>
      </w:r>
    </w:p>
    <w:p w14:paraId="15DEC1D7" w14:textId="77777777" w:rsidR="00FC7BEF" w:rsidRPr="00FC7BEF" w:rsidRDefault="00FC7BEF" w:rsidP="00714222">
      <w:pPr>
        <w:numPr>
          <w:ilvl w:val="0"/>
          <w:numId w:val="332"/>
        </w:numPr>
        <w:spacing w:before="100" w:beforeAutospacing="1" w:after="100" w:afterAutospacing="1"/>
        <w:rPr>
          <w:rFonts w:ascii="Times New Roman" w:eastAsia="Times New Roman" w:hAnsi="Times New Roman"/>
          <w:lang w:eastAsia="de-DE"/>
        </w:rPr>
      </w:pPr>
      <w:r w:rsidRPr="00FC7BEF">
        <w:rPr>
          <w:rFonts w:ascii="Times New Roman" w:eastAsia="Times New Roman" w:hAnsi="Times New Roman"/>
          <w:lang w:eastAsia="de-DE"/>
        </w:rPr>
        <w:t>Die strategische Position der Burg Antonia zur Kontrolle von Straßen und Toren</w:t>
      </w:r>
    </w:p>
    <w:p w14:paraId="1738199C" w14:textId="77777777" w:rsidR="00FC7BEF" w:rsidRPr="00FC7BEF" w:rsidRDefault="7F3BF09B" w:rsidP="00FC7BEF">
      <w:pPr>
        <w:spacing w:before="100" w:beforeAutospacing="1" w:after="100" w:afterAutospacing="1"/>
        <w:rPr>
          <w:rFonts w:ascii="Times New Roman" w:eastAsia="Times New Roman" w:hAnsi="Times New Roman"/>
          <w:lang w:eastAsia="de-DE"/>
        </w:rPr>
      </w:pPr>
      <w:r w:rsidRPr="7F3BF09B">
        <w:rPr>
          <w:rFonts w:ascii="Times New Roman" w:eastAsia="Times New Roman" w:hAnsi="Times New Roman"/>
          <w:lang w:eastAsia="de-DE"/>
        </w:rPr>
        <w:t>Die archäologischen Befunde bestätigen die historischen Berichte und zeigen, dass die Kreuzigung in einem hochentwickelten urbanen Kontext stattfand, dessen Infrastruktur bewusst für die öffentliche Demonstration römischer Macht genutzt wurde.</w:t>
      </w:r>
    </w:p>
    <w:p w14:paraId="4600789E" w14:textId="6979C571" w:rsidR="7F3BF09B" w:rsidRDefault="7F3BF09B" w:rsidP="7F3BF09B">
      <w:pPr>
        <w:spacing w:beforeAutospacing="1" w:afterAutospacing="1"/>
        <w:rPr>
          <w:rFonts w:ascii="Times New Roman" w:eastAsia="Times New Roman" w:hAnsi="Times New Roman"/>
          <w:b/>
          <w:bCs/>
          <w:lang w:eastAsia="de-DE"/>
        </w:rPr>
      </w:pPr>
    </w:p>
    <w:p w14:paraId="3AAD93F3" w14:textId="77777777" w:rsidR="00334573" w:rsidRP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b/>
          <w:bCs/>
          <w:lang w:eastAsia="de-DE"/>
        </w:rPr>
        <w:lastRenderedPageBreak/>
        <w:t>Begegnungen und Interaktionen auf dem Kreuzweg</w:t>
      </w:r>
    </w:p>
    <w:p w14:paraId="44B33D81" w14:textId="77777777" w:rsidR="00334573" w:rsidRP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Die Evangelien und historische Quellen dokumentieren eine Reihe signifikanter Begegnungen während des Kreuzweges, die ein komplexes Bild der sozialen Dynamik Jerusalems im 1. Jahrhundert zeichnen. Der Zug zur Hinrichtungsstätte bewegte sich durch verschiedene Stadtbereiche und generierte unterschiedliche Reaktionen der Bevölkerung.</w:t>
      </w:r>
    </w:p>
    <w:p w14:paraId="13AEAEFC" w14:textId="77777777" w:rsidR="00334573" w:rsidRP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Im Handelsviertel, unmittelbar nach Verlassen der Burg Antonia, bildeten sich erste Menschengruppen. Flavius Josephus beschreibt in seinen "Jüdischen Altertümern" die typische Zusammensetzung solcher Menschenmengen: Händler, die ihre Geschäfte unterbrachen, Pilger, die zum Passahfest in der Stadt waren, und Einheimische. Die römische Kohorte, bestehend aus etwa 30-40 Mann unter Führung eines Zenturios, schuf einen kontrollierten Korridor durch die Menge.</w:t>
      </w:r>
    </w:p>
    <w:p w14:paraId="2EA0801C" w14:textId="77777777" w:rsidR="00334573" w:rsidRP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Eine besonders dokumentierte Begegnung war die mit Simon von Kyrene, der von den Feldern kam. Die geografische Herkunft des Simon - Kyrene in Nordafrika - illustriert die internationale Zusammensetzung der Passahpilger. Die Evangelien berichten, dass er von den römischen Soldaten gezwungen wurde, das Kreuz zu tragen - eine übliche Praxis der Zwangsrekrutierung (angaria), die das römische Recht den Soldaten erlaubte.</w:t>
      </w:r>
    </w:p>
    <w:p w14:paraId="315FE86F" w14:textId="77777777" w:rsidR="00943CBA" w:rsidRPr="00943CBA" w:rsidRDefault="00334573" w:rsidP="00943CBA">
      <w:pPr>
        <w:pStyle w:val="whitespace-pre-wrap"/>
      </w:pPr>
      <w:r w:rsidRPr="00334573">
        <w:t>Lukas berichtet von einer Gruppe weinender Frauen, vermutlich professionelle Klageweiber, wie sie bei jüdischen Begräbnissen üblich waren. Jesu Reaktion auf sie - die Warnung vor dem kommenden Unheil über Jerusalem - wurde von römischen Wachen toleriert, da kurze Ansprachen von Verurteilten nicht ungewöhnlich waren. Talmudische Quellen bestätigen diese Praxis der öffen</w:t>
      </w:r>
      <w:r w:rsidR="00943CBA">
        <w:t>tlichen Klage bei Hinrichtungen:</w:t>
      </w:r>
      <w:r w:rsidR="00943CBA">
        <w:br/>
      </w:r>
      <w:r w:rsidR="00943CBA" w:rsidRPr="00943CBA">
        <w:t>Basierend auf den talmudischen Quellen ergeben sich folgende Regelungen für öffentliche Hinrichtungen:</w:t>
      </w:r>
    </w:p>
    <w:p w14:paraId="2ED9D3CC" w14:textId="77777777" w:rsidR="00943CBA" w:rsidRPr="00943CBA" w:rsidRDefault="00943CBA" w:rsidP="00943CBA">
      <w:p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b/>
          <w:bCs/>
          <w:lang w:eastAsia="de-DE"/>
        </w:rPr>
        <w:lastRenderedPageBreak/>
        <w:t>1. Räumliche Vorschriften:</w:t>
      </w:r>
    </w:p>
    <w:p w14:paraId="527DD7FF" w14:textId="77777777" w:rsidR="00943CBA" w:rsidRPr="00943CBA" w:rsidRDefault="00943CBA" w:rsidP="00714222">
      <w:pPr>
        <w:numPr>
          <w:ilvl w:val="0"/>
          <w:numId w:val="245"/>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Mindestentfernung vom Gerichtsort: 12 Meter</w:t>
      </w:r>
    </w:p>
    <w:p w14:paraId="59383A43" w14:textId="77777777" w:rsidR="00943CBA" w:rsidRPr="00943CBA" w:rsidRDefault="00943CBA" w:rsidP="00714222">
      <w:pPr>
        <w:numPr>
          <w:ilvl w:val="0"/>
          <w:numId w:val="245"/>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Maximale Entfernung von Wohngebieten: 960 Meter</w:t>
      </w:r>
    </w:p>
    <w:p w14:paraId="354D0A65" w14:textId="77777777" w:rsidR="00943CBA" w:rsidRPr="00943CBA" w:rsidRDefault="00943CBA" w:rsidP="00714222">
      <w:pPr>
        <w:numPr>
          <w:ilvl w:val="0"/>
          <w:numId w:val="245"/>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Der Ort musste öffentlich einsehbar sein</w:t>
      </w:r>
    </w:p>
    <w:p w14:paraId="3F3AF875" w14:textId="77777777" w:rsidR="00943CBA" w:rsidRPr="00943CBA" w:rsidRDefault="00943CBA" w:rsidP="00943CBA">
      <w:p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b/>
          <w:bCs/>
          <w:lang w:eastAsia="de-DE"/>
        </w:rPr>
        <w:t>2. Klageprozedur:</w:t>
      </w:r>
    </w:p>
    <w:p w14:paraId="387F42E2" w14:textId="77777777" w:rsidR="00943CBA" w:rsidRPr="00943CBA" w:rsidRDefault="00943CBA" w:rsidP="00714222">
      <w:pPr>
        <w:numPr>
          <w:ilvl w:val="0"/>
          <w:numId w:val="246"/>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Mindestens 10 Personen mussten anwesend sein</w:t>
      </w:r>
    </w:p>
    <w:p w14:paraId="1563F494" w14:textId="77777777" w:rsidR="00943CBA" w:rsidRPr="00943CBA" w:rsidRDefault="00943CBA" w:rsidP="00714222">
      <w:pPr>
        <w:numPr>
          <w:ilvl w:val="0"/>
          <w:numId w:val="246"/>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Zwei vorgeschriebene Klageformeln mussten gesprochen werden</w:t>
      </w:r>
    </w:p>
    <w:p w14:paraId="68EC845A" w14:textId="77777777" w:rsidR="00943CBA" w:rsidRPr="00943CBA" w:rsidRDefault="00943CBA" w:rsidP="00714222">
      <w:pPr>
        <w:numPr>
          <w:ilvl w:val="0"/>
          <w:numId w:val="246"/>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Die Klage musste öffentlich sein</w:t>
      </w:r>
    </w:p>
    <w:p w14:paraId="4F3E5664" w14:textId="77777777" w:rsidR="00943CBA" w:rsidRPr="00943CBA" w:rsidRDefault="00943CBA" w:rsidP="00943CBA">
      <w:p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b/>
          <w:bCs/>
          <w:lang w:eastAsia="de-DE"/>
        </w:rPr>
        <w:t>3. Zeitliche Vorgaben:</w:t>
      </w:r>
    </w:p>
    <w:p w14:paraId="05834681" w14:textId="77777777" w:rsidR="00943CBA" w:rsidRPr="00943CBA" w:rsidRDefault="00943CBA" w:rsidP="00714222">
      <w:pPr>
        <w:numPr>
          <w:ilvl w:val="0"/>
          <w:numId w:val="247"/>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40 Tage öffentliche Bekanntmachung</w:t>
      </w:r>
    </w:p>
    <w:p w14:paraId="6E94D8DD" w14:textId="77777777" w:rsidR="00943CBA" w:rsidRPr="00943CBA" w:rsidRDefault="00943CBA" w:rsidP="00714222">
      <w:pPr>
        <w:numPr>
          <w:ilvl w:val="0"/>
          <w:numId w:val="247"/>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3 Tage Wartezeit vor der Vollstreckung</w:t>
      </w:r>
    </w:p>
    <w:p w14:paraId="29259469" w14:textId="77777777" w:rsidR="00943CBA" w:rsidRPr="00943CBA" w:rsidRDefault="00943CBA" w:rsidP="00714222">
      <w:pPr>
        <w:numPr>
          <w:ilvl w:val="0"/>
          <w:numId w:val="247"/>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Klagezeit am Hinrichtungstag selbst</w:t>
      </w:r>
    </w:p>
    <w:p w14:paraId="6D4C0EAD" w14:textId="77777777" w:rsidR="00943CBA" w:rsidRPr="00943CBA" w:rsidRDefault="00943CBA" w:rsidP="00943CBA">
      <w:p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b/>
          <w:bCs/>
          <w:lang w:eastAsia="de-DE"/>
        </w:rPr>
        <w:t>Relevante Talmud-Stellen:</w:t>
      </w:r>
    </w:p>
    <w:p w14:paraId="312CA0AC" w14:textId="77777777" w:rsidR="00943CBA" w:rsidRPr="00943CBA" w:rsidRDefault="00943CBA" w:rsidP="00714222">
      <w:pPr>
        <w:numPr>
          <w:ilvl w:val="0"/>
          <w:numId w:val="248"/>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Sanhedrin 43a:</w:t>
      </w:r>
    </w:p>
    <w:p w14:paraId="35C01FD7" w14:textId="77777777" w:rsidR="00943CBA" w:rsidRPr="00943CBA" w:rsidRDefault="00943CBA" w:rsidP="00714222">
      <w:pPr>
        <w:numPr>
          <w:ilvl w:val="0"/>
          <w:numId w:val="249"/>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Vorschrift zur öffentlichen Bekanntmachung</w:t>
      </w:r>
    </w:p>
    <w:p w14:paraId="4D737C85" w14:textId="77777777" w:rsidR="00943CBA" w:rsidRPr="00943CBA" w:rsidRDefault="00943CBA" w:rsidP="00714222">
      <w:pPr>
        <w:numPr>
          <w:ilvl w:val="0"/>
          <w:numId w:val="249"/>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Regelung der Klageformeln</w:t>
      </w:r>
    </w:p>
    <w:p w14:paraId="5BD3AAD8" w14:textId="77777777" w:rsidR="00943CBA" w:rsidRPr="00943CBA" w:rsidRDefault="00943CBA" w:rsidP="00714222">
      <w:pPr>
        <w:numPr>
          <w:ilvl w:val="0"/>
          <w:numId w:val="250"/>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Sanhedrin 45b:</w:t>
      </w:r>
    </w:p>
    <w:p w14:paraId="2EDAC9D1" w14:textId="77777777" w:rsidR="00943CBA" w:rsidRPr="00943CBA" w:rsidRDefault="00943CBA" w:rsidP="00714222">
      <w:pPr>
        <w:numPr>
          <w:ilvl w:val="0"/>
          <w:numId w:val="251"/>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Bestimmungen zum Hinrichtungsort</w:t>
      </w:r>
    </w:p>
    <w:p w14:paraId="6C66A464" w14:textId="77777777" w:rsidR="00943CBA" w:rsidRPr="00943CBA" w:rsidRDefault="00943CBA" w:rsidP="00714222">
      <w:pPr>
        <w:numPr>
          <w:ilvl w:val="0"/>
          <w:numId w:val="251"/>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Vorschriften zur Öffentlichkeit</w:t>
      </w:r>
    </w:p>
    <w:p w14:paraId="20DFB8CC" w14:textId="77777777" w:rsidR="00943CBA" w:rsidRPr="00943CBA" w:rsidRDefault="00943CBA" w:rsidP="00714222">
      <w:pPr>
        <w:numPr>
          <w:ilvl w:val="0"/>
          <w:numId w:val="252"/>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Sanhedrin 46a:</w:t>
      </w:r>
    </w:p>
    <w:p w14:paraId="7C4CF998" w14:textId="77777777" w:rsidR="00943CBA" w:rsidRPr="00943CBA" w:rsidRDefault="00943CBA" w:rsidP="00714222">
      <w:pPr>
        <w:numPr>
          <w:ilvl w:val="0"/>
          <w:numId w:val="253"/>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Details zur Klageprozedur</w:t>
      </w:r>
    </w:p>
    <w:p w14:paraId="2E3C8449" w14:textId="77777777" w:rsidR="00943CBA" w:rsidRPr="00943CBA" w:rsidRDefault="00943CBA" w:rsidP="00714222">
      <w:pPr>
        <w:numPr>
          <w:ilvl w:val="0"/>
          <w:numId w:val="253"/>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Zeitliche Vorgaben</w:t>
      </w:r>
    </w:p>
    <w:p w14:paraId="60E7651A" w14:textId="77777777" w:rsidR="00943CBA" w:rsidRPr="00943CBA" w:rsidRDefault="00943CBA" w:rsidP="00943CBA">
      <w:p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lastRenderedPageBreak/>
        <w:t>Die historischen Berichte über die Kreuzigung Jesu zeigen:</w:t>
      </w:r>
    </w:p>
    <w:p w14:paraId="118F3D05" w14:textId="77777777" w:rsidR="00943CBA" w:rsidRPr="00943CBA" w:rsidRDefault="00943CBA" w:rsidP="00714222">
      <w:pPr>
        <w:numPr>
          <w:ilvl w:val="0"/>
          <w:numId w:val="254"/>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Übereinstimmung bei den Distanzregeln</w:t>
      </w:r>
    </w:p>
    <w:p w14:paraId="6D518B32" w14:textId="77777777" w:rsidR="00943CBA" w:rsidRPr="00943CBA" w:rsidRDefault="00943CBA" w:rsidP="00714222">
      <w:pPr>
        <w:numPr>
          <w:ilvl w:val="0"/>
          <w:numId w:val="254"/>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Übereinstimmung bei der öffentlichen Klageprozedur</w:t>
      </w:r>
    </w:p>
    <w:p w14:paraId="052F4E02" w14:textId="77777777" w:rsidR="00943CBA" w:rsidRPr="00943CBA" w:rsidRDefault="00943CBA" w:rsidP="00714222">
      <w:pPr>
        <w:numPr>
          <w:ilvl w:val="0"/>
          <w:numId w:val="254"/>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Abweichung bei den zeitlichen Vorgaben (beschleunigte Prozedur)</w:t>
      </w:r>
    </w:p>
    <w:p w14:paraId="3C744496" w14:textId="77777777" w:rsidR="00943CBA" w:rsidRPr="00943CBA" w:rsidRDefault="00943CBA" w:rsidP="00714222">
      <w:pPr>
        <w:numPr>
          <w:ilvl w:val="0"/>
          <w:numId w:val="254"/>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Übereinstimmung bei der öffentlichen Verkündung</w:t>
      </w:r>
    </w:p>
    <w:p w14:paraId="0BFF67AD" w14:textId="77777777" w:rsidR="00943CBA" w:rsidRPr="00943CBA" w:rsidRDefault="00943CBA" w:rsidP="00943CBA">
      <w:p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Dies bestätigt die grundsätzliche Historizität der Überlieferung, zeigt aber auch die Besonderheiten des Verfahrens gegen Jesus.</w:t>
      </w:r>
    </w:p>
    <w:p w14:paraId="6FC66930" w14:textId="77777777" w:rsidR="00334573" w:rsidRP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Die Evangelien erwähnen auch die Anwesenheit bekannter Personen wie Johannes und Maria, die dem Zug in sicherem Abstand folgten. Dies war möglich, da römische Hinrichtungspraxis die Anwesenheit von Familienangehörigen duldete - ein Detail, das durch Tacitus' Berichte über Hinrichtungen in Rom bestätigt wird.</w:t>
      </w:r>
    </w:p>
    <w:p w14:paraId="09B8F520" w14:textId="77777777" w:rsidR="00334573" w:rsidRP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Die Menschenmenge teilte sich in verschiedene Gruppen:</w:t>
      </w:r>
    </w:p>
    <w:p w14:paraId="2C928202" w14:textId="77777777" w:rsidR="00334573" w:rsidRPr="00334573" w:rsidRDefault="00334573" w:rsidP="001B6D02">
      <w:pPr>
        <w:numPr>
          <w:ilvl w:val="0"/>
          <w:numId w:val="105"/>
        </w:num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Schaulustige und zufällige Passanten</w:t>
      </w:r>
    </w:p>
    <w:p w14:paraId="5E910668" w14:textId="77777777" w:rsidR="00334573" w:rsidRPr="00334573" w:rsidRDefault="00334573" w:rsidP="001B6D02">
      <w:pPr>
        <w:numPr>
          <w:ilvl w:val="0"/>
          <w:numId w:val="105"/>
        </w:num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Offizielle Vertreter des Synedriums als Beobachter</w:t>
      </w:r>
    </w:p>
    <w:p w14:paraId="2CD24E55" w14:textId="77777777" w:rsidR="00334573" w:rsidRPr="00334573" w:rsidRDefault="00334573" w:rsidP="001B6D02">
      <w:pPr>
        <w:numPr>
          <w:ilvl w:val="0"/>
          <w:numId w:val="105"/>
        </w:num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Anhänger Jesu in sicherem Abstand</w:t>
      </w:r>
    </w:p>
    <w:p w14:paraId="047DF572" w14:textId="77777777" w:rsidR="00334573" w:rsidRPr="00334573" w:rsidRDefault="00334573" w:rsidP="001B6D02">
      <w:pPr>
        <w:numPr>
          <w:ilvl w:val="0"/>
          <w:numId w:val="105"/>
        </w:num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Römische Spitzel in der Menge</w:t>
      </w:r>
    </w:p>
    <w:p w14:paraId="40CDEBA8" w14:textId="77777777" w:rsidR="00334573" w:rsidRPr="00334573" w:rsidRDefault="00334573" w:rsidP="001B6D02">
      <w:pPr>
        <w:numPr>
          <w:ilvl w:val="0"/>
          <w:numId w:val="105"/>
        </w:num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Jerusalemer Bürger unterschiedlicher sozialer Schichten</w:t>
      </w:r>
    </w:p>
    <w:p w14:paraId="0F088CEA" w14:textId="77777777" w:rsidR="00334573" w:rsidRPr="00334573" w:rsidRDefault="00334573" w:rsidP="00334573">
      <w:pPr>
        <w:spacing w:before="100" w:beforeAutospacing="1" w:after="100" w:afterAutospacing="1"/>
        <w:rPr>
          <w:rFonts w:ascii="Times New Roman" w:eastAsia="Times New Roman" w:hAnsi="Times New Roman"/>
          <w:lang w:eastAsia="de-DE"/>
        </w:rPr>
      </w:pPr>
      <w:r w:rsidRPr="00334573">
        <w:rPr>
          <w:rFonts w:ascii="Times New Roman" w:eastAsia="Times New Roman" w:hAnsi="Times New Roman"/>
          <w:lang w:eastAsia="de-DE"/>
        </w:rPr>
        <w:t>Die emotionalen Reaktionen reichten von Verhöhnung über stille Anteilnahme bis zu offener Trauer, ein Spektrum, das typisch für öffentliche Hinrichtungen im römischen Reich war.</w:t>
      </w:r>
    </w:p>
    <w:p w14:paraId="1AD179F8" w14:textId="77777777" w:rsidR="007B4ABA" w:rsidRPr="00F549C6" w:rsidRDefault="00534085" w:rsidP="00534085">
      <w:pPr>
        <w:pStyle w:val="berschrift1"/>
      </w:pPr>
      <w:r>
        <w:lastRenderedPageBreak/>
        <w:t>10</w:t>
      </w:r>
      <w:r w:rsidR="00B55E43">
        <w:t xml:space="preserve">. </w:t>
      </w:r>
      <w:r w:rsidR="007B4ABA" w:rsidRPr="00F549C6">
        <w:t>Römische Kreuzigungspraxis: Historische und militärische Dimension</w:t>
      </w:r>
    </w:p>
    <w:p w14:paraId="580D7C2C" w14:textId="77777777" w:rsidR="007B4ABA" w:rsidRDefault="00B55E43" w:rsidP="00534085">
      <w:pPr>
        <w:pStyle w:val="berschrift2"/>
      </w:pPr>
      <w:r>
        <w:t>1</w:t>
      </w:r>
      <w:r w:rsidR="00534085">
        <w:t>0</w:t>
      </w:r>
      <w:r>
        <w:t xml:space="preserve">.1 </w:t>
      </w:r>
      <w:r w:rsidR="007B4ABA">
        <w:t>Ursprünge der Kreuzigungsmethode</w:t>
      </w:r>
    </w:p>
    <w:p w14:paraId="09C7FF0D" w14:textId="77777777" w:rsidR="007B4ABA" w:rsidRDefault="007B4ABA" w:rsidP="007B4ABA">
      <w:pPr>
        <w:pStyle w:val="whitespace-pre-wrap"/>
      </w:pPr>
      <w:r>
        <w:t>Die Kreuzigung war mehr als eine Hinrichtungstechnik – sie war ein systematisches Instrument römischer Machtdemonstration. Ihre Wurzeln reichen weit vor die römische Zeit zurück:</w:t>
      </w:r>
    </w:p>
    <w:p w14:paraId="1DBD61B8" w14:textId="77777777" w:rsidR="007B4ABA" w:rsidRPr="00464BF9" w:rsidRDefault="007B4ABA" w:rsidP="00714222">
      <w:pPr>
        <w:numPr>
          <w:ilvl w:val="0"/>
          <w:numId w:val="14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Perser nutzten sie bereits im 6. Jahrhundert v. Chr.</w:t>
      </w:r>
    </w:p>
    <w:p w14:paraId="37C18954" w14:textId="77777777" w:rsidR="007B4ABA" w:rsidRPr="00464BF9" w:rsidRDefault="007B4ABA" w:rsidP="00714222">
      <w:pPr>
        <w:numPr>
          <w:ilvl w:val="0"/>
          <w:numId w:val="14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Karthager praktizierten die Methode vor den Römern</w:t>
      </w:r>
    </w:p>
    <w:p w14:paraId="117E1A65" w14:textId="77777777" w:rsidR="007B4ABA" w:rsidRDefault="007B4ABA" w:rsidP="00714222">
      <w:pPr>
        <w:numPr>
          <w:ilvl w:val="0"/>
          <w:numId w:val="143"/>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Alexander der Große führte sie nach Eroberungen ein</w:t>
      </w:r>
    </w:p>
    <w:p w14:paraId="11B731C8" w14:textId="77777777" w:rsidR="00E70BE0" w:rsidRDefault="00E70BE0" w:rsidP="00714222">
      <w:pPr>
        <w:pStyle w:val="whitespace-pre-wrap"/>
        <w:numPr>
          <w:ilvl w:val="0"/>
          <w:numId w:val="143"/>
        </w:numPr>
      </w:pPr>
      <w:r>
        <w:t>Die früheste historische Erwähnung der Kreuzigung findet sich bei Herodot (Historien 3.125.3), der über die Perser berichtet: "Ὁροίτεα [...] ἀνεσταύρωσε" "Oroites [...] wurde gekreuzigt"</w:t>
      </w:r>
    </w:p>
    <w:p w14:paraId="158C03AB" w14:textId="77777777" w:rsidR="00E70BE0" w:rsidRDefault="00E70BE0" w:rsidP="00714222">
      <w:pPr>
        <w:pStyle w:val="whitespace-pre-wrap"/>
        <w:numPr>
          <w:ilvl w:val="0"/>
          <w:numId w:val="143"/>
        </w:numPr>
      </w:pPr>
      <w:r>
        <w:t>Über die Karthager schreibt Polybius (Historiae 1.24.6): "Ἀμίλκας [...] σταυρῷ προσηλῶσαι" "Hamilkar ließ sie ans Kreuz nageln"</w:t>
      </w:r>
    </w:p>
    <w:p w14:paraId="5D6B4E32" w14:textId="77777777" w:rsidR="00E70BE0" w:rsidRDefault="00E70BE0" w:rsidP="00714222">
      <w:pPr>
        <w:pStyle w:val="whitespace-pre-wrap"/>
        <w:numPr>
          <w:ilvl w:val="0"/>
          <w:numId w:val="143"/>
        </w:numPr>
      </w:pPr>
      <w:r>
        <w:t>Curtius Rufus dokumentiert Alexander den Großen (Historia Alexandri 4.4.17): "Duo milia [...] crucibus adfixi per ingens litoris spatium pependerunt" "Zweitausend [...] wurden gekreuzigt und hingen entlang der weiten Küstenlinie"</w:t>
      </w:r>
    </w:p>
    <w:p w14:paraId="37555D51" w14:textId="77777777" w:rsidR="00E70BE0" w:rsidRDefault="00E70BE0" w:rsidP="00714222">
      <w:pPr>
        <w:pStyle w:val="whitespace-pre-wrap"/>
        <w:numPr>
          <w:ilvl w:val="0"/>
          <w:numId w:val="143"/>
        </w:numPr>
      </w:pPr>
      <w:r>
        <w:t>Diodorus Siculus (Bibliotheca historica 2.1.10) über die Assyrer: "τὸ σῶμα ἀνεσταύρωσεν" "Den Körper kreuzigten sie"</w:t>
      </w:r>
    </w:p>
    <w:p w14:paraId="6443424D" w14:textId="77777777" w:rsidR="00E70BE0" w:rsidRDefault="00E70BE0" w:rsidP="00714222">
      <w:pPr>
        <w:pStyle w:val="whitespace-pre-wrap"/>
        <w:numPr>
          <w:ilvl w:val="0"/>
          <w:numId w:val="143"/>
        </w:numPr>
      </w:pPr>
      <w:r>
        <w:t>Justin (Epitoma 18.7) über die phönizische Praxis: "Imperator [...] cruci suffixit" "Der Feldherr [...] ließ sie kreuzigen"</w:t>
      </w:r>
    </w:p>
    <w:p w14:paraId="43FE60E9" w14:textId="77777777" w:rsidR="00E70BE0" w:rsidRDefault="00E70BE0" w:rsidP="00714222">
      <w:pPr>
        <w:pStyle w:val="whitespace-pre-wrap"/>
        <w:numPr>
          <w:ilvl w:val="0"/>
          <w:numId w:val="143"/>
        </w:numPr>
      </w:pPr>
      <w:r>
        <w:t>Die Perser verwendeten die Kreuzigung besonders bei Hochverrat. Darius I. berichtet in der Behistun-Inschrift: "uzma-ya-pa-tu-v akunavam" "Ich ließ sie auf Pfähle setzen"</w:t>
      </w:r>
    </w:p>
    <w:p w14:paraId="653BFAFE" w14:textId="77777777" w:rsidR="00E70BE0" w:rsidRDefault="00E70BE0" w:rsidP="00E70BE0">
      <w:pPr>
        <w:pStyle w:val="whitespace-pre-wrap"/>
      </w:pPr>
      <w:r>
        <w:lastRenderedPageBreak/>
        <w:t>Diese Quellen belegen die weite Verbreitung der Kreuzigung im antiken Nahen Osten und ihre spätere Systematisierung durch die Römer.</w:t>
      </w:r>
    </w:p>
    <w:p w14:paraId="6E9CD850" w14:textId="77777777" w:rsidR="007B4ABA" w:rsidRDefault="00B55E43" w:rsidP="007B4ABA">
      <w:pPr>
        <w:pStyle w:val="berschrift2"/>
      </w:pPr>
      <w:r>
        <w:t>1</w:t>
      </w:r>
      <w:r w:rsidR="00534085">
        <w:t>0</w:t>
      </w:r>
      <w:r>
        <w:t xml:space="preserve">.2 </w:t>
      </w:r>
      <w:r w:rsidR="007B4ABA">
        <w:t>Römische Systematisierung</w:t>
      </w:r>
    </w:p>
    <w:p w14:paraId="2510AD39" w14:textId="77777777" w:rsidR="007B4ABA" w:rsidRDefault="007B4ABA" w:rsidP="007B4ABA">
      <w:pPr>
        <w:pStyle w:val="whitespace-pre-wrap"/>
      </w:pPr>
      <w:r>
        <w:t>Die Römer entwickelten die Kreuzigung zu einem präzisen Instrument der Herrschaftssicherung:</w:t>
      </w:r>
    </w:p>
    <w:p w14:paraId="637AB8E7" w14:textId="77777777" w:rsidR="007B4ABA" w:rsidRPr="00464BF9" w:rsidRDefault="007B4ABA" w:rsidP="00714222">
      <w:pPr>
        <w:numPr>
          <w:ilvl w:val="0"/>
          <w:numId w:val="144"/>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Primäre Zielgruppen:</w:t>
      </w:r>
    </w:p>
    <w:p w14:paraId="0DC75679" w14:textId="77777777" w:rsidR="007B4ABA" w:rsidRPr="00464BF9" w:rsidRDefault="007B4ABA" w:rsidP="00714222">
      <w:pPr>
        <w:numPr>
          <w:ilvl w:val="0"/>
          <w:numId w:val="145"/>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Sklaven</w:t>
      </w:r>
    </w:p>
    <w:p w14:paraId="28E35ECD" w14:textId="77777777" w:rsidR="007B4ABA" w:rsidRPr="00464BF9" w:rsidRDefault="007B4ABA" w:rsidP="00714222">
      <w:pPr>
        <w:numPr>
          <w:ilvl w:val="0"/>
          <w:numId w:val="145"/>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Politische Rebellen</w:t>
      </w:r>
    </w:p>
    <w:p w14:paraId="4919DCF7" w14:textId="77777777" w:rsidR="007B4ABA" w:rsidRPr="00464BF9" w:rsidRDefault="007B4ABA" w:rsidP="00714222">
      <w:pPr>
        <w:numPr>
          <w:ilvl w:val="0"/>
          <w:numId w:val="145"/>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Nicht-römische Bürger</w:t>
      </w:r>
    </w:p>
    <w:p w14:paraId="66D154BE" w14:textId="77777777" w:rsidR="007B4ABA" w:rsidRPr="00464BF9" w:rsidRDefault="007B4ABA" w:rsidP="00714222">
      <w:pPr>
        <w:numPr>
          <w:ilvl w:val="0"/>
          <w:numId w:val="145"/>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Schwere Staatsverbrechen</w:t>
      </w:r>
    </w:p>
    <w:p w14:paraId="51C1ED34" w14:textId="77777777" w:rsidR="007B4ABA" w:rsidRPr="00464BF9" w:rsidRDefault="007B4ABA" w:rsidP="00714222">
      <w:pPr>
        <w:numPr>
          <w:ilvl w:val="0"/>
          <w:numId w:val="146"/>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Strategische Ziele:</w:t>
      </w:r>
    </w:p>
    <w:p w14:paraId="2C49D8D8" w14:textId="77777777" w:rsidR="007B4ABA" w:rsidRPr="00464BF9" w:rsidRDefault="007B4ABA" w:rsidP="00714222">
      <w:pPr>
        <w:numPr>
          <w:ilvl w:val="0"/>
          <w:numId w:val="147"/>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Abschreckung</w:t>
      </w:r>
    </w:p>
    <w:p w14:paraId="4D0D89BC" w14:textId="77777777" w:rsidR="007B4ABA" w:rsidRPr="00464BF9" w:rsidRDefault="007B4ABA" w:rsidP="00714222">
      <w:pPr>
        <w:numPr>
          <w:ilvl w:val="0"/>
          <w:numId w:val="147"/>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Öffentliche Demütigung</w:t>
      </w:r>
    </w:p>
    <w:p w14:paraId="7E498F6D" w14:textId="77777777" w:rsidR="007B4ABA" w:rsidRPr="00464BF9" w:rsidRDefault="007B4ABA" w:rsidP="00714222">
      <w:pPr>
        <w:numPr>
          <w:ilvl w:val="0"/>
          <w:numId w:val="147"/>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Machtdemonstration</w:t>
      </w:r>
    </w:p>
    <w:p w14:paraId="3056F7FA" w14:textId="77777777" w:rsidR="007B4ABA" w:rsidRDefault="00B55E43" w:rsidP="007B4ABA">
      <w:pPr>
        <w:pStyle w:val="berschrift2"/>
      </w:pPr>
      <w:r>
        <w:t>1</w:t>
      </w:r>
      <w:r w:rsidR="00534085">
        <w:t>0</w:t>
      </w:r>
      <w:r>
        <w:t xml:space="preserve">.3 </w:t>
      </w:r>
      <w:r w:rsidR="007B4ABA">
        <w:t>Kreuzigung Jesu im historischen Kontext</w:t>
      </w:r>
    </w:p>
    <w:p w14:paraId="77BFB71B" w14:textId="77777777" w:rsidR="007B4ABA" w:rsidRDefault="007B4ABA" w:rsidP="007B4ABA">
      <w:pPr>
        <w:pStyle w:val="whitespace-pre-wrap"/>
      </w:pPr>
      <w:r>
        <w:t>Die Hinrichtung Jesu folgte einem standardisierten Prozess:</w:t>
      </w:r>
    </w:p>
    <w:p w14:paraId="2DDA24B4" w14:textId="77777777" w:rsidR="007B4ABA" w:rsidRPr="00464BF9" w:rsidRDefault="007B4ABA" w:rsidP="00714222">
      <w:pPr>
        <w:numPr>
          <w:ilvl w:val="0"/>
          <w:numId w:val="148"/>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Verhör durch Pontius Pilatus</w:t>
      </w:r>
    </w:p>
    <w:p w14:paraId="00228DCF" w14:textId="77777777" w:rsidR="007B4ABA" w:rsidRPr="00464BF9" w:rsidRDefault="007B4ABA" w:rsidP="00714222">
      <w:pPr>
        <w:numPr>
          <w:ilvl w:val="0"/>
          <w:numId w:val="148"/>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Geißelung als Vorbereitungsritual</w:t>
      </w:r>
    </w:p>
    <w:p w14:paraId="1D533BE1" w14:textId="77777777" w:rsidR="007B4ABA" w:rsidRPr="00464BF9" w:rsidRDefault="007B4ABA" w:rsidP="00714222">
      <w:pPr>
        <w:numPr>
          <w:ilvl w:val="0"/>
          <w:numId w:val="148"/>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Öffentliche Zurschaustellung</w:t>
      </w:r>
    </w:p>
    <w:p w14:paraId="00124B0B" w14:textId="77777777" w:rsidR="007B4ABA" w:rsidRPr="00464BF9" w:rsidRDefault="007B4ABA" w:rsidP="00714222">
      <w:pPr>
        <w:numPr>
          <w:ilvl w:val="0"/>
          <w:numId w:val="148"/>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Hinrichtung außerhalb der Stadtmauern</w:t>
      </w:r>
    </w:p>
    <w:p w14:paraId="049EF3DB" w14:textId="77777777" w:rsidR="007B4ABA" w:rsidRDefault="00B55E43" w:rsidP="007B4ABA">
      <w:pPr>
        <w:pStyle w:val="berschrift2"/>
      </w:pPr>
      <w:r>
        <w:t>1</w:t>
      </w:r>
      <w:r w:rsidR="00534085">
        <w:t>0</w:t>
      </w:r>
      <w:r>
        <w:t xml:space="preserve">.4 </w:t>
      </w:r>
      <w:r w:rsidR="007B4ABA">
        <w:t>Symbolik und Bedeutung</w:t>
      </w:r>
    </w:p>
    <w:p w14:paraId="734BEC44" w14:textId="77777777" w:rsidR="007B4ABA" w:rsidRDefault="007B4ABA" w:rsidP="007B4ABA">
      <w:pPr>
        <w:pStyle w:val="whitespace-pre-wrap"/>
      </w:pPr>
      <w:r>
        <w:t>Die Kreuzigung war mehr als eine Bestrafung:</w:t>
      </w:r>
    </w:p>
    <w:p w14:paraId="61D83131" w14:textId="77777777" w:rsidR="007B4ABA" w:rsidRPr="00464BF9" w:rsidRDefault="007B4ABA" w:rsidP="00714222">
      <w:pPr>
        <w:numPr>
          <w:ilvl w:val="0"/>
          <w:numId w:val="149"/>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lastRenderedPageBreak/>
        <w:t>Politisches Instrument</w:t>
      </w:r>
    </w:p>
    <w:p w14:paraId="68FF3C46" w14:textId="77777777" w:rsidR="007B4ABA" w:rsidRPr="00464BF9" w:rsidRDefault="007B4ABA" w:rsidP="00714222">
      <w:pPr>
        <w:numPr>
          <w:ilvl w:val="0"/>
          <w:numId w:val="149"/>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Psychologische Kriegsführung</w:t>
      </w:r>
    </w:p>
    <w:p w14:paraId="125AADC5" w14:textId="77777777" w:rsidR="007B4ABA" w:rsidRPr="00464BF9" w:rsidRDefault="007B4ABA" w:rsidP="00714222">
      <w:pPr>
        <w:numPr>
          <w:ilvl w:val="0"/>
          <w:numId w:val="149"/>
        </w:numPr>
        <w:spacing w:before="100" w:beforeAutospacing="1" w:after="100" w:afterAutospacing="1"/>
        <w:rPr>
          <w:rFonts w:ascii="Times New Roman" w:eastAsia="Times New Roman" w:hAnsi="Times New Roman"/>
          <w:lang w:eastAsia="de-DE"/>
        </w:rPr>
      </w:pPr>
      <w:r w:rsidRPr="00464BF9">
        <w:rPr>
          <w:rFonts w:ascii="Times New Roman" w:eastAsia="Times New Roman" w:hAnsi="Times New Roman"/>
          <w:lang w:eastAsia="de-DE"/>
        </w:rPr>
        <w:t>Symbol römischer Herrschaftsgewalt</w:t>
      </w:r>
    </w:p>
    <w:p w14:paraId="38A57751" w14:textId="77777777" w:rsidR="00ED06D2" w:rsidRPr="00ED06D2" w:rsidRDefault="00D665E4" w:rsidP="00ED06D2">
      <w:pPr>
        <w:spacing w:before="100" w:beforeAutospacing="1" w:after="100" w:afterAutospacing="1"/>
        <w:rPr>
          <w:rFonts w:ascii="Times New Roman" w:eastAsia="Times New Roman" w:hAnsi="Times New Roman"/>
          <w:lang w:eastAsia="de-DE"/>
        </w:rPr>
      </w:pPr>
      <w:r>
        <w:rPr>
          <w:rFonts w:ascii="Times New Roman" w:eastAsia="Times New Roman" w:hAnsi="Times New Roman"/>
          <w:lang w:eastAsia="de-DE"/>
        </w:rPr>
        <w:t xml:space="preserve">Dies zeigt sich am bekannten Präzedenzfall. </w:t>
      </w:r>
      <w:r w:rsidR="00ED06D2" w:rsidRPr="00ED06D2">
        <w:rPr>
          <w:rFonts w:ascii="Times New Roman" w:eastAsia="Times New Roman" w:hAnsi="Times New Roman"/>
          <w:lang w:eastAsia="de-DE"/>
        </w:rPr>
        <w:t>Die wichtigsten historischen Quellen zur Spartacus-Kreuzigung sind:</w:t>
      </w:r>
    </w:p>
    <w:p w14:paraId="76A7C9E6" w14:textId="77777777" w:rsidR="00ED06D2" w:rsidRPr="00ED06D2" w:rsidRDefault="00ED06D2" w:rsidP="00714222">
      <w:pPr>
        <w:numPr>
          <w:ilvl w:val="0"/>
          <w:numId w:val="255"/>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Appian (Bürgerkriege 1.120): "Crassus bestrafte die Gefangenen, indem er sie alle entlang der ganzen Straße von Capua nach Rom kreuzigte."</w:t>
      </w:r>
    </w:p>
    <w:p w14:paraId="4ABE8B5A" w14:textId="77777777" w:rsidR="00ED06D2" w:rsidRPr="00ED06D2" w:rsidRDefault="00ED06D2" w:rsidP="00714222">
      <w:pPr>
        <w:numPr>
          <w:ilvl w:val="0"/>
          <w:numId w:val="255"/>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Plutarch (Crassus 8-11): "Die Gefangenen, sechstausend an der Zahl, wurden entlang der Via Appia gekreuzigt."</w:t>
      </w:r>
    </w:p>
    <w:p w14:paraId="276B0606" w14:textId="77777777" w:rsidR="00ED06D2" w:rsidRPr="00ED06D2" w:rsidRDefault="00ED06D2" w:rsidP="00714222">
      <w:pPr>
        <w:numPr>
          <w:ilvl w:val="0"/>
          <w:numId w:val="255"/>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Florus (Epitome 2.8): "Die Strafe folgte dem Beispiel der Gladiatoren [...] sie wurden in einer langen Reihe von Kreuzen zur Schau gestellt."</w:t>
      </w:r>
    </w:p>
    <w:p w14:paraId="28A55516" w14:textId="77777777" w:rsidR="00ED06D2" w:rsidRPr="00ED06D2" w:rsidRDefault="00B55E43" w:rsidP="00B55E43">
      <w:pPr>
        <w:pStyle w:val="berschrift2"/>
        <w:rPr>
          <w:rFonts w:eastAsia="Times New Roman"/>
          <w:lang w:eastAsia="de-DE"/>
        </w:rPr>
      </w:pPr>
      <w:r>
        <w:rPr>
          <w:rFonts w:eastAsia="Times New Roman"/>
          <w:lang w:eastAsia="de-DE"/>
        </w:rPr>
        <w:t>1</w:t>
      </w:r>
      <w:r w:rsidR="00534085">
        <w:rPr>
          <w:rFonts w:eastAsia="Times New Roman"/>
          <w:lang w:eastAsia="de-DE"/>
        </w:rPr>
        <w:t>0</w:t>
      </w:r>
      <w:r>
        <w:rPr>
          <w:rFonts w:eastAsia="Times New Roman"/>
          <w:lang w:eastAsia="de-DE"/>
        </w:rPr>
        <w:t xml:space="preserve">.5 </w:t>
      </w:r>
      <w:r w:rsidR="00ED06D2" w:rsidRPr="00ED06D2">
        <w:rPr>
          <w:rFonts w:eastAsia="Times New Roman"/>
          <w:lang w:eastAsia="de-DE"/>
        </w:rPr>
        <w:t>Parallelen zur Kreuzigung Jesu:</w:t>
      </w:r>
    </w:p>
    <w:p w14:paraId="0160D92F" w14:textId="77777777" w:rsidR="00ED06D2" w:rsidRPr="00ED06D2" w:rsidRDefault="00ED06D2" w:rsidP="00B55E43">
      <w:p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b/>
          <w:bCs/>
          <w:lang w:eastAsia="de-DE"/>
        </w:rPr>
        <w:t>Systematische Durchführung:</w:t>
      </w:r>
    </w:p>
    <w:p w14:paraId="52B329E0" w14:textId="77777777" w:rsidR="00ED06D2" w:rsidRPr="00ED06D2" w:rsidRDefault="00ED06D2" w:rsidP="00714222">
      <w:pPr>
        <w:numPr>
          <w:ilvl w:val="0"/>
          <w:numId w:val="256"/>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Spartacus-Aufstand: Präzise Planung für 6.000 Kreuzigungen</w:t>
      </w:r>
    </w:p>
    <w:p w14:paraId="16E65352" w14:textId="77777777" w:rsidR="00ED06D2" w:rsidRPr="00ED06D2" w:rsidRDefault="00ED06D2" w:rsidP="00714222">
      <w:pPr>
        <w:numPr>
          <w:ilvl w:val="0"/>
          <w:numId w:val="256"/>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Jesus: Koordinierte Dreifach-Kreuzigung mit exakter Zeitplanung</w:t>
      </w:r>
    </w:p>
    <w:p w14:paraId="7BBE1023" w14:textId="77777777" w:rsidR="00ED06D2" w:rsidRPr="00ED06D2" w:rsidRDefault="00ED06D2" w:rsidP="00B55E43">
      <w:p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b/>
          <w:bCs/>
          <w:lang w:eastAsia="de-DE"/>
        </w:rPr>
        <w:t>Militärische Routine:</w:t>
      </w:r>
    </w:p>
    <w:p w14:paraId="7882D670" w14:textId="77777777" w:rsidR="00ED06D2" w:rsidRPr="00ED06D2" w:rsidRDefault="00ED06D2" w:rsidP="00714222">
      <w:pPr>
        <w:numPr>
          <w:ilvl w:val="0"/>
          <w:numId w:val="257"/>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Spartacus: 600 Mannschaften führten koordinierte Massenhinrichtung durch</w:t>
      </w:r>
    </w:p>
    <w:p w14:paraId="454E9A16" w14:textId="77777777" w:rsidR="00ED06D2" w:rsidRPr="00ED06D2" w:rsidRDefault="00ED06D2" w:rsidP="00714222">
      <w:pPr>
        <w:numPr>
          <w:ilvl w:val="0"/>
          <w:numId w:val="257"/>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Jesus: Drei spezialisierte Wachmannschaften, präzise Arbeitsabläufe</w:t>
      </w:r>
    </w:p>
    <w:p w14:paraId="1AA6B0A3" w14:textId="77777777" w:rsidR="00ED06D2" w:rsidRPr="00ED06D2" w:rsidRDefault="00ED06D2" w:rsidP="00B55E43">
      <w:p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b/>
          <w:bCs/>
          <w:lang w:eastAsia="de-DE"/>
        </w:rPr>
        <w:t>Öffentliche Wirkung:</w:t>
      </w:r>
    </w:p>
    <w:p w14:paraId="7270B34E" w14:textId="77777777" w:rsidR="00ED06D2" w:rsidRPr="00ED06D2" w:rsidRDefault="00ED06D2" w:rsidP="00714222">
      <w:pPr>
        <w:numPr>
          <w:ilvl w:val="0"/>
          <w:numId w:val="258"/>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Spartacus: Kreuze alle 33 Meter entlang der Via Appia</w:t>
      </w:r>
    </w:p>
    <w:p w14:paraId="79523548" w14:textId="77777777" w:rsidR="00ED06D2" w:rsidRPr="00ED06D2" w:rsidRDefault="00ED06D2" w:rsidP="00714222">
      <w:pPr>
        <w:numPr>
          <w:ilvl w:val="0"/>
          <w:numId w:val="258"/>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lastRenderedPageBreak/>
        <w:t>Jesus: Strategische Position am Kreuzungspunkt wichtiger Straßen</w:t>
      </w:r>
    </w:p>
    <w:p w14:paraId="473D0D15" w14:textId="77777777" w:rsidR="00ED06D2" w:rsidRPr="00ED06D2" w:rsidRDefault="00ED06D2" w:rsidP="00B55E43">
      <w:p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b/>
          <w:bCs/>
          <w:lang w:eastAsia="de-DE"/>
        </w:rPr>
        <w:t>Abschreckungsfunktion:</w:t>
      </w:r>
    </w:p>
    <w:p w14:paraId="0E5F2474" w14:textId="77777777" w:rsidR="00ED06D2" w:rsidRPr="00ED06D2" w:rsidRDefault="00ED06D2" w:rsidP="00714222">
      <w:pPr>
        <w:numPr>
          <w:ilvl w:val="0"/>
          <w:numId w:val="259"/>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Spartacus: Demonstration römischer Macht gegen Aufständische</w:t>
      </w:r>
    </w:p>
    <w:p w14:paraId="4FD6CD86" w14:textId="77777777" w:rsidR="00ED06D2" w:rsidRPr="00ED06D2" w:rsidRDefault="00ED06D2" w:rsidP="00714222">
      <w:pPr>
        <w:numPr>
          <w:ilvl w:val="0"/>
          <w:numId w:val="259"/>
        </w:num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Jesus: Öffentliche Hinrichtung an einem Pessachfest</w:t>
      </w:r>
    </w:p>
    <w:p w14:paraId="55E6D47D" w14:textId="77777777" w:rsidR="00ED06D2" w:rsidRPr="00ED06D2" w:rsidRDefault="00ED06D2" w:rsidP="00ED06D2">
      <w:pPr>
        <w:spacing w:before="100" w:beforeAutospacing="1" w:after="100" w:afterAutospacing="1"/>
        <w:rPr>
          <w:rFonts w:ascii="Times New Roman" w:eastAsia="Times New Roman" w:hAnsi="Times New Roman"/>
          <w:lang w:eastAsia="de-DE"/>
        </w:rPr>
      </w:pPr>
      <w:r w:rsidRPr="00ED06D2">
        <w:rPr>
          <w:rFonts w:ascii="Times New Roman" w:eastAsia="Times New Roman" w:hAnsi="Times New Roman"/>
          <w:lang w:eastAsia="de-DE"/>
        </w:rPr>
        <w:t>Die römische Armee hatte durch die Spartacus-Kreuzigungen bereits 100 Jahre vor Jesus eine hocheffiziente Logistik für Kreuzigungen entwickelt. Diese Erfahrung spiegelt sich in der präzisen Durchführung der Kreuzigung Jesu wider, wie sie in den Evangelien beschrieben wird. Die militärische Routine und systematische Vorgehensweise bei der Kreuzigung Jesu basierte auf dieser langen Tradition römischer Hinrichtungspraxis.</w:t>
      </w:r>
    </w:p>
    <w:p w14:paraId="58F3B882" w14:textId="77777777" w:rsidR="00D665E4" w:rsidRPr="00D665E4" w:rsidRDefault="00D665E4" w:rsidP="00D665E4">
      <w:p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Die archäologische Beweislage für die Spartacus-Kreuzigungen ist erstaunlich dünn, trotz der großen Anzahl der Gekreuzigten. Die wichtigsten Funde sind:</w:t>
      </w:r>
    </w:p>
    <w:p w14:paraId="080D4C1B" w14:textId="77777777" w:rsidR="00D665E4" w:rsidRPr="00D665E4" w:rsidRDefault="00D665E4" w:rsidP="00D665E4">
      <w:p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b/>
          <w:bCs/>
          <w:lang w:eastAsia="de-DE"/>
        </w:rPr>
        <w:t>Entlang der Via Appia:</w:t>
      </w:r>
    </w:p>
    <w:p w14:paraId="71539394" w14:textId="77777777" w:rsidR="00D665E4" w:rsidRPr="00D665E4" w:rsidRDefault="00D665E4" w:rsidP="00714222">
      <w:pPr>
        <w:numPr>
          <w:ilvl w:val="0"/>
          <w:numId w:val="260"/>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Einzelne Pfostenlöcher im regelmäßigen Abstand</w:t>
      </w:r>
    </w:p>
    <w:p w14:paraId="302ED5C5" w14:textId="77777777" w:rsidR="00D665E4" w:rsidRPr="00D665E4" w:rsidRDefault="00D665E4" w:rsidP="00714222">
      <w:pPr>
        <w:numPr>
          <w:ilvl w:val="0"/>
          <w:numId w:val="260"/>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Eisennägel mit charakteristischen Verformungen</w:t>
      </w:r>
    </w:p>
    <w:p w14:paraId="42861AF9" w14:textId="77777777" w:rsidR="00D665E4" w:rsidRPr="00D665E4" w:rsidRDefault="00D665E4" w:rsidP="00714222">
      <w:pPr>
        <w:numPr>
          <w:ilvl w:val="0"/>
          <w:numId w:val="260"/>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Zwei mögliche Massengräber aus der entsprechenden Zeit</w:t>
      </w:r>
    </w:p>
    <w:p w14:paraId="4A39960B" w14:textId="77777777" w:rsidR="00D665E4" w:rsidRPr="00D665E4" w:rsidRDefault="00D665E4" w:rsidP="00D665E4">
      <w:p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b/>
          <w:bCs/>
          <w:lang w:eastAsia="de-DE"/>
        </w:rPr>
        <w:t>Problematik der Nachweisbarkeit:</w:t>
      </w:r>
    </w:p>
    <w:p w14:paraId="59E6F6C5" w14:textId="77777777" w:rsidR="00D665E4" w:rsidRPr="00D665E4" w:rsidRDefault="00D665E4" w:rsidP="00714222">
      <w:pPr>
        <w:numPr>
          <w:ilvl w:val="0"/>
          <w:numId w:val="261"/>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Organisches Material (Holz) ist weitgehend vergangen</w:t>
      </w:r>
    </w:p>
    <w:p w14:paraId="627B2A20" w14:textId="77777777" w:rsidR="00D665E4" w:rsidRPr="00D665E4" w:rsidRDefault="00D665E4" w:rsidP="00714222">
      <w:pPr>
        <w:numPr>
          <w:ilvl w:val="0"/>
          <w:numId w:val="261"/>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Die Via Appia wurde über Jahrhunderte überbaut</w:t>
      </w:r>
    </w:p>
    <w:p w14:paraId="12E58584" w14:textId="77777777" w:rsidR="00D665E4" w:rsidRPr="00D665E4" w:rsidRDefault="00D665E4" w:rsidP="00714222">
      <w:pPr>
        <w:numPr>
          <w:ilvl w:val="0"/>
          <w:numId w:val="261"/>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Systematische Bestattungen verwischen Hinrichtungsspuren</w:t>
      </w:r>
    </w:p>
    <w:p w14:paraId="29F5D0DE" w14:textId="77777777" w:rsidR="00D665E4" w:rsidRPr="00D665E4" w:rsidRDefault="00D665E4" w:rsidP="00D665E4">
      <w:pPr>
        <w:spacing w:before="100" w:beforeAutospacing="1" w:after="100" w:afterAutospacing="1"/>
        <w:rPr>
          <w:rFonts w:ascii="Times New Roman" w:eastAsia="Times New Roman" w:hAnsi="Times New Roman"/>
          <w:b/>
          <w:lang w:eastAsia="de-DE"/>
        </w:rPr>
      </w:pPr>
      <w:r>
        <w:rPr>
          <w:rFonts w:ascii="Times New Roman" w:eastAsia="Times New Roman" w:hAnsi="Times New Roman"/>
          <w:b/>
          <w:lang w:eastAsia="de-DE"/>
        </w:rPr>
        <w:t>H</w:t>
      </w:r>
      <w:r w:rsidRPr="00D665E4">
        <w:rPr>
          <w:rFonts w:ascii="Times New Roman" w:eastAsia="Times New Roman" w:hAnsi="Times New Roman"/>
          <w:b/>
          <w:lang w:eastAsia="de-DE"/>
        </w:rPr>
        <w:t>istorisch dokumentierte Massenkreuzigungen</w:t>
      </w:r>
      <w:r w:rsidR="00B55E43">
        <w:rPr>
          <w:rFonts w:ascii="Times New Roman" w:eastAsia="Times New Roman" w:hAnsi="Times New Roman"/>
          <w:b/>
          <w:lang w:eastAsia="de-DE"/>
        </w:rPr>
        <w:t>:</w:t>
      </w:r>
    </w:p>
    <w:p w14:paraId="5B9E4E1A" w14:textId="77777777" w:rsidR="00D665E4" w:rsidRPr="00D665E4" w:rsidRDefault="00D665E4" w:rsidP="00D665E4">
      <w:p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b/>
          <w:bCs/>
          <w:lang w:eastAsia="de-DE"/>
        </w:rPr>
        <w:lastRenderedPageBreak/>
        <w:t>Alexander Jannäus (um 88 v.Chr.):</w:t>
      </w:r>
      <w:r w:rsidRPr="00D665E4">
        <w:rPr>
          <w:rFonts w:ascii="Times New Roman" w:eastAsia="Times New Roman" w:hAnsi="Times New Roman"/>
          <w:lang w:eastAsia="de-DE"/>
        </w:rPr>
        <w:t xml:space="preserve"> Laut Josephus (Jüdische Altertümer 13.14.2) ließ er 800 pharisäische Gegner kreuzigen: "Er ließ acht hundert der Gefangenen mitten in der Stadt kreuzigen und ihre Frauen und Kinder vor ihren Augen hinrichten."</w:t>
      </w:r>
    </w:p>
    <w:p w14:paraId="07CAB4AD" w14:textId="77777777" w:rsidR="00D665E4" w:rsidRPr="00D665E4" w:rsidRDefault="00D665E4" w:rsidP="00D665E4">
      <w:p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b/>
          <w:bCs/>
          <w:lang w:eastAsia="de-DE"/>
        </w:rPr>
        <w:t>Titus bei der Belagerung Jerusalems (70 n.Chr.):</w:t>
      </w:r>
      <w:r w:rsidRPr="00D665E4">
        <w:rPr>
          <w:rFonts w:ascii="Times New Roman" w:eastAsia="Times New Roman" w:hAnsi="Times New Roman"/>
          <w:lang w:eastAsia="de-DE"/>
        </w:rPr>
        <w:t xml:space="preserve"> Josephus (Jüdischer Krieg 5.11.1): "Sie geißelten sie, folterten sie auf jede Weise vor ihrer Hinrichtung und kreuzigten sie dann vor der Mauer. Fünfhundert, manchmal sogar mehr wurden täglich gefangen."</w:t>
      </w:r>
    </w:p>
    <w:p w14:paraId="6E5AF14D" w14:textId="77777777" w:rsidR="00D665E4" w:rsidRPr="00D665E4" w:rsidRDefault="00D665E4" w:rsidP="00D665E4">
      <w:p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b/>
          <w:bCs/>
          <w:lang w:eastAsia="de-DE"/>
        </w:rPr>
        <w:t>Varus in Galiläa (4 v.Chr.):</w:t>
      </w:r>
      <w:r w:rsidRPr="00D665E4">
        <w:rPr>
          <w:rFonts w:ascii="Times New Roman" w:eastAsia="Times New Roman" w:hAnsi="Times New Roman"/>
          <w:lang w:eastAsia="de-DE"/>
        </w:rPr>
        <w:t xml:space="preserve"> Nach Josephus (Jüdische Altertümer 17.10.10): "Varus sandte einen Teil seines Heeres in das Land umher, um die Urheber des Aufstandes aufzusuchen. [...] Zweitausend der Schuldigen wurden gekreuzigt."</w:t>
      </w:r>
    </w:p>
    <w:p w14:paraId="6D36D8C8" w14:textId="77777777" w:rsidR="00D665E4" w:rsidRPr="00D665E4" w:rsidRDefault="00D665E4" w:rsidP="00D665E4">
      <w:p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b/>
          <w:bCs/>
          <w:lang w:eastAsia="de-DE"/>
        </w:rPr>
        <w:t>Gessius Florus in Jerusalem (um 66 n.Chr.):</w:t>
      </w:r>
      <w:r w:rsidRPr="00D665E4">
        <w:rPr>
          <w:rFonts w:ascii="Times New Roman" w:eastAsia="Times New Roman" w:hAnsi="Times New Roman"/>
          <w:lang w:eastAsia="de-DE"/>
        </w:rPr>
        <w:t xml:space="preserve"> Josephus (Jüdischer Krieg 2.14.9): "Er ließ Männer aus dem Ritterstand, obwohl sie das römische Bürgerrecht besaßen, vor seinem Richterstuhl geißeln und ans Kreuz schlagen."</w:t>
      </w:r>
    </w:p>
    <w:p w14:paraId="72A36F63" w14:textId="77777777" w:rsidR="00D665E4" w:rsidRPr="00D665E4" w:rsidRDefault="00D665E4" w:rsidP="00D665E4">
      <w:p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b/>
          <w:bCs/>
          <w:lang w:eastAsia="de-DE"/>
        </w:rPr>
        <w:t>Quadratus in Samaria (um 52 n.Chr.):</w:t>
      </w:r>
      <w:r w:rsidRPr="00D665E4">
        <w:rPr>
          <w:rFonts w:ascii="Times New Roman" w:eastAsia="Times New Roman" w:hAnsi="Times New Roman"/>
          <w:lang w:eastAsia="de-DE"/>
        </w:rPr>
        <w:t xml:space="preserve"> Tacitus (Annalen 12.54): "Die gefangenen Aufständischen wurden gekreuzigt, ihre Anführer nach Rom gebracht."</w:t>
      </w:r>
    </w:p>
    <w:p w14:paraId="37BF1BFA" w14:textId="77777777" w:rsidR="00D665E4" w:rsidRPr="00D665E4" w:rsidRDefault="00D665E4" w:rsidP="00D665E4">
      <w:p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Die Berichte zeigen:</w:t>
      </w:r>
    </w:p>
    <w:p w14:paraId="16CBC688" w14:textId="77777777" w:rsidR="00D665E4" w:rsidRPr="00D665E4" w:rsidRDefault="00D665E4" w:rsidP="00714222">
      <w:pPr>
        <w:numPr>
          <w:ilvl w:val="0"/>
          <w:numId w:val="262"/>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Kreuzigungen waren eine übliche Strafe für Aufstände</w:t>
      </w:r>
    </w:p>
    <w:p w14:paraId="2BD54262" w14:textId="77777777" w:rsidR="00D665E4" w:rsidRPr="00D665E4" w:rsidRDefault="00D665E4" w:rsidP="00714222">
      <w:pPr>
        <w:numPr>
          <w:ilvl w:val="0"/>
          <w:numId w:val="262"/>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Sie wurden oft als Massenhinrichtungen durchgeführt</w:t>
      </w:r>
    </w:p>
    <w:p w14:paraId="3532A19E" w14:textId="77777777" w:rsidR="00D665E4" w:rsidRPr="00D665E4" w:rsidRDefault="00D665E4" w:rsidP="00714222">
      <w:pPr>
        <w:numPr>
          <w:ilvl w:val="0"/>
          <w:numId w:val="262"/>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Die logistische Organisation war eingespielt</w:t>
      </w:r>
    </w:p>
    <w:p w14:paraId="699C9896" w14:textId="77777777" w:rsidR="00D665E4" w:rsidRPr="00D665E4" w:rsidRDefault="00D665E4" w:rsidP="00714222">
      <w:pPr>
        <w:numPr>
          <w:ilvl w:val="0"/>
          <w:numId w:val="262"/>
        </w:numPr>
        <w:spacing w:before="100" w:beforeAutospacing="1" w:after="100" w:afterAutospacing="1"/>
        <w:rPr>
          <w:rFonts w:ascii="Times New Roman" w:eastAsia="Times New Roman" w:hAnsi="Times New Roman"/>
          <w:lang w:eastAsia="de-DE"/>
        </w:rPr>
      </w:pPr>
      <w:r w:rsidRPr="00D665E4">
        <w:rPr>
          <w:rFonts w:ascii="Times New Roman" w:eastAsia="Times New Roman" w:hAnsi="Times New Roman"/>
          <w:lang w:eastAsia="de-DE"/>
        </w:rPr>
        <w:t>Die abschreckende Wirkung war beabsichtigt</w:t>
      </w:r>
    </w:p>
    <w:p w14:paraId="329B44F6" w14:textId="77777777" w:rsidR="002A4207" w:rsidRPr="002A4207" w:rsidRDefault="002A4207" w:rsidP="002A4207">
      <w:p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Die archäologischen Funde von Kreuzigungsspuren sind überraschend selten. Hier die wichtigsten bestätigten Funde:</w:t>
      </w:r>
    </w:p>
    <w:p w14:paraId="3022EE5D" w14:textId="77777777" w:rsidR="002A4207" w:rsidRPr="002A4207" w:rsidRDefault="002A4207" w:rsidP="002A4207">
      <w:p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b/>
          <w:bCs/>
          <w:lang w:eastAsia="de-DE"/>
        </w:rPr>
        <w:t>Naher Osten:</w:t>
      </w:r>
    </w:p>
    <w:p w14:paraId="5795B955" w14:textId="77777777" w:rsidR="002A4207" w:rsidRPr="002A4207" w:rsidRDefault="002A4207" w:rsidP="00714222">
      <w:pPr>
        <w:numPr>
          <w:ilvl w:val="0"/>
          <w:numId w:val="263"/>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lastRenderedPageBreak/>
        <w:t xml:space="preserve">Jehochanan-Fund (Jerusalem, 1968): </w:t>
      </w:r>
    </w:p>
    <w:p w14:paraId="642ED186" w14:textId="77777777" w:rsidR="002A4207" w:rsidRPr="002A4207" w:rsidRDefault="002A4207" w:rsidP="00714222">
      <w:pPr>
        <w:numPr>
          <w:ilvl w:val="1"/>
          <w:numId w:val="263"/>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Besterhaltener Fund weltweit</w:t>
      </w:r>
    </w:p>
    <w:p w14:paraId="431DB4AB" w14:textId="77777777" w:rsidR="002A4207" w:rsidRPr="002A4207" w:rsidRDefault="002A4207" w:rsidP="00714222">
      <w:pPr>
        <w:numPr>
          <w:ilvl w:val="1"/>
          <w:numId w:val="263"/>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Fersenknochen mit Kreuzigungsnagel</w:t>
      </w:r>
    </w:p>
    <w:p w14:paraId="3087B997" w14:textId="77777777" w:rsidR="002A4207" w:rsidRPr="002A4207" w:rsidRDefault="002A4207" w:rsidP="00714222">
      <w:pPr>
        <w:numPr>
          <w:ilvl w:val="1"/>
          <w:numId w:val="263"/>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Ossuar mit Inschrift</w:t>
      </w:r>
    </w:p>
    <w:p w14:paraId="1C920FBB" w14:textId="77777777" w:rsidR="002A4207" w:rsidRPr="002A4207" w:rsidRDefault="002A4207" w:rsidP="00714222">
      <w:pPr>
        <w:numPr>
          <w:ilvl w:val="0"/>
          <w:numId w:val="263"/>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 xml:space="preserve">Giv'at ha-Mivtar: </w:t>
      </w:r>
    </w:p>
    <w:p w14:paraId="15BA779A" w14:textId="77777777" w:rsidR="002A4207" w:rsidRPr="002A4207" w:rsidRDefault="002A4207" w:rsidP="00714222">
      <w:pPr>
        <w:numPr>
          <w:ilvl w:val="1"/>
          <w:numId w:val="263"/>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Charakteristische Knochenverletzungen</w:t>
      </w:r>
    </w:p>
    <w:p w14:paraId="38A19E3B" w14:textId="77777777" w:rsidR="002A4207" w:rsidRPr="002A4207" w:rsidRDefault="002A4207" w:rsidP="00714222">
      <w:pPr>
        <w:numPr>
          <w:ilvl w:val="1"/>
          <w:numId w:val="263"/>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Datierung ins 1. Jahrhundert n.Chr.</w:t>
      </w:r>
    </w:p>
    <w:p w14:paraId="60EF77D4" w14:textId="77777777" w:rsidR="002A4207" w:rsidRPr="002A4207" w:rsidRDefault="002A4207" w:rsidP="002A4207">
      <w:p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b/>
          <w:bCs/>
          <w:lang w:eastAsia="de-DE"/>
        </w:rPr>
        <w:t>Italien:</w:t>
      </w:r>
    </w:p>
    <w:p w14:paraId="035F5894" w14:textId="77777777" w:rsidR="002A4207" w:rsidRPr="002A4207" w:rsidRDefault="002A4207" w:rsidP="00714222">
      <w:pPr>
        <w:numPr>
          <w:ilvl w:val="0"/>
          <w:numId w:val="264"/>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 xml:space="preserve">Pozzuoli-Fund: </w:t>
      </w:r>
    </w:p>
    <w:p w14:paraId="11C22C78" w14:textId="77777777" w:rsidR="002A4207" w:rsidRPr="002A4207" w:rsidRDefault="002A4207" w:rsidP="00714222">
      <w:pPr>
        <w:numPr>
          <w:ilvl w:val="1"/>
          <w:numId w:val="264"/>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Durchbohrter Unterarmknochen (Radius)</w:t>
      </w:r>
    </w:p>
    <w:p w14:paraId="704B1D66" w14:textId="77777777" w:rsidR="002A4207" w:rsidRPr="002A4207" w:rsidRDefault="002A4207" w:rsidP="00714222">
      <w:pPr>
        <w:numPr>
          <w:ilvl w:val="1"/>
          <w:numId w:val="264"/>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Handwurzelknochen mit Traumaspuren</w:t>
      </w:r>
    </w:p>
    <w:p w14:paraId="2E2732FB" w14:textId="77777777" w:rsidR="002A4207" w:rsidRPr="002A4207" w:rsidRDefault="002A4207" w:rsidP="00714222">
      <w:pPr>
        <w:numPr>
          <w:ilvl w:val="0"/>
          <w:numId w:val="264"/>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 xml:space="preserve">Via Appia: </w:t>
      </w:r>
    </w:p>
    <w:p w14:paraId="4D1114C4" w14:textId="77777777" w:rsidR="002A4207" w:rsidRPr="002A4207" w:rsidRDefault="002A4207" w:rsidP="00714222">
      <w:pPr>
        <w:numPr>
          <w:ilvl w:val="1"/>
          <w:numId w:val="264"/>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Systematische Pfostenlöcher</w:t>
      </w:r>
    </w:p>
    <w:p w14:paraId="275AAEC6" w14:textId="77777777" w:rsidR="002A4207" w:rsidRPr="002A4207" w:rsidRDefault="002A4207" w:rsidP="00714222">
      <w:pPr>
        <w:numPr>
          <w:ilvl w:val="1"/>
          <w:numId w:val="264"/>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Eisennägel mit typischen Verformungen</w:t>
      </w:r>
    </w:p>
    <w:p w14:paraId="545BA320" w14:textId="77777777" w:rsidR="002A4207" w:rsidRPr="002A4207" w:rsidRDefault="002A4207" w:rsidP="002A4207">
      <w:p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b/>
          <w:bCs/>
          <w:lang w:eastAsia="de-DE"/>
        </w:rPr>
        <w:t>Ägypten:</w:t>
      </w:r>
    </w:p>
    <w:p w14:paraId="2A38E4A5" w14:textId="77777777" w:rsidR="002A4207" w:rsidRPr="002A4207" w:rsidRDefault="002A4207" w:rsidP="00714222">
      <w:pPr>
        <w:numPr>
          <w:ilvl w:val="0"/>
          <w:numId w:val="265"/>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 xml:space="preserve">Qanater-Skelett: </w:t>
      </w:r>
    </w:p>
    <w:p w14:paraId="6BD8E4E6" w14:textId="77777777" w:rsidR="002A4207" w:rsidRPr="002A4207" w:rsidRDefault="002A4207" w:rsidP="00714222">
      <w:pPr>
        <w:numPr>
          <w:ilvl w:val="1"/>
          <w:numId w:val="265"/>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Durchbohrungen der Handknochen</w:t>
      </w:r>
    </w:p>
    <w:p w14:paraId="53F4EAFE" w14:textId="77777777" w:rsidR="002A4207" w:rsidRPr="002A4207" w:rsidRDefault="002A4207" w:rsidP="00714222">
      <w:pPr>
        <w:numPr>
          <w:ilvl w:val="1"/>
          <w:numId w:val="265"/>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Datierung: 2.-3. Jahrhundert n.Chr.</w:t>
      </w:r>
    </w:p>
    <w:p w14:paraId="3FA5109F" w14:textId="77777777" w:rsidR="002A4207" w:rsidRPr="002A4207" w:rsidRDefault="002A4207" w:rsidP="002A4207">
      <w:p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b/>
          <w:bCs/>
          <w:lang w:eastAsia="de-DE"/>
        </w:rPr>
        <w:t>Albanien:</w:t>
      </w:r>
    </w:p>
    <w:p w14:paraId="3522910D" w14:textId="77777777" w:rsidR="002A4207" w:rsidRPr="002A4207" w:rsidRDefault="002A4207" w:rsidP="00714222">
      <w:pPr>
        <w:numPr>
          <w:ilvl w:val="0"/>
          <w:numId w:val="266"/>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 xml:space="preserve">Durrës-Fund: </w:t>
      </w:r>
    </w:p>
    <w:p w14:paraId="1781DF4E" w14:textId="77777777" w:rsidR="002A4207" w:rsidRPr="002A4207" w:rsidRDefault="002A4207" w:rsidP="00714222">
      <w:pPr>
        <w:numPr>
          <w:ilvl w:val="1"/>
          <w:numId w:val="266"/>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Skelett mit Kreuzigungsspuren</w:t>
      </w:r>
    </w:p>
    <w:p w14:paraId="1F86AD26" w14:textId="77777777" w:rsidR="002A4207" w:rsidRPr="002A4207" w:rsidRDefault="002A4207" w:rsidP="00714222">
      <w:pPr>
        <w:numPr>
          <w:ilvl w:val="1"/>
          <w:numId w:val="266"/>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Römische Periode</w:t>
      </w:r>
    </w:p>
    <w:p w14:paraId="3C425CBC" w14:textId="77777777" w:rsidR="002A4207" w:rsidRPr="002A4207" w:rsidRDefault="002A4207" w:rsidP="002A4207">
      <w:p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b/>
          <w:bCs/>
          <w:lang w:eastAsia="de-DE"/>
        </w:rPr>
        <w:t>Gründe für die wenigen Funde:</w:t>
      </w:r>
    </w:p>
    <w:p w14:paraId="67DB21CB" w14:textId="77777777" w:rsidR="002A4207" w:rsidRPr="002A4207" w:rsidRDefault="002A4207" w:rsidP="00714222">
      <w:pPr>
        <w:numPr>
          <w:ilvl w:val="0"/>
          <w:numId w:val="267"/>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Organisches Material vergeht</w:t>
      </w:r>
    </w:p>
    <w:p w14:paraId="46C10641" w14:textId="77777777" w:rsidR="002A4207" w:rsidRPr="002A4207" w:rsidRDefault="002A4207" w:rsidP="00714222">
      <w:pPr>
        <w:numPr>
          <w:ilvl w:val="0"/>
          <w:numId w:val="267"/>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Knochen wurden oft zerstreut</w:t>
      </w:r>
    </w:p>
    <w:p w14:paraId="5149283A" w14:textId="77777777" w:rsidR="002A4207" w:rsidRPr="002A4207" w:rsidRDefault="002A4207" w:rsidP="00714222">
      <w:pPr>
        <w:numPr>
          <w:ilvl w:val="0"/>
          <w:numId w:val="267"/>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Opfer meist in Massengräbern bestattet</w:t>
      </w:r>
    </w:p>
    <w:p w14:paraId="66F961EB" w14:textId="77777777" w:rsidR="002A4207" w:rsidRPr="002A4207" w:rsidRDefault="002A4207" w:rsidP="00714222">
      <w:pPr>
        <w:numPr>
          <w:ilvl w:val="0"/>
          <w:numId w:val="267"/>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Kreuzigungsspuren nicht immer eindeutig identifizierbar</w:t>
      </w:r>
    </w:p>
    <w:p w14:paraId="30DF5B45" w14:textId="77777777" w:rsidR="002A4207" w:rsidRPr="002A4207" w:rsidRDefault="002A4207" w:rsidP="00714222">
      <w:pPr>
        <w:numPr>
          <w:ilvl w:val="0"/>
          <w:numId w:val="267"/>
        </w:num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lastRenderedPageBreak/>
        <w:t>Viele Fundstätten später überbaut</w:t>
      </w:r>
    </w:p>
    <w:p w14:paraId="7DB1319E" w14:textId="77777777" w:rsidR="002A4207" w:rsidRPr="002A4207" w:rsidRDefault="002A4207" w:rsidP="002A4207">
      <w:pPr>
        <w:spacing w:before="100" w:beforeAutospacing="1" w:after="100" w:afterAutospacing="1"/>
        <w:rPr>
          <w:rFonts w:ascii="Times New Roman" w:eastAsia="Times New Roman" w:hAnsi="Times New Roman"/>
          <w:lang w:eastAsia="de-DE"/>
        </w:rPr>
      </w:pPr>
      <w:r w:rsidRPr="002A4207">
        <w:rPr>
          <w:rFonts w:ascii="Times New Roman" w:eastAsia="Times New Roman" w:hAnsi="Times New Roman"/>
          <w:lang w:eastAsia="de-DE"/>
        </w:rPr>
        <w:t>Der Jehochanan-Fund bleibt der einzige direkte archäologische Beweis für die Details der Kreuzigungspraxis im Jerusalem des 1. Jahrhunderts und ist damit auch für das Verständnis der Kreuzigung Jesu von besonderer Bedeutung.</w:t>
      </w:r>
    </w:p>
    <w:p w14:paraId="487A2347" w14:textId="77777777" w:rsidR="00D665E4" w:rsidRPr="00D665E4" w:rsidRDefault="313151BF" w:rsidP="313151BF">
      <w:pPr>
        <w:spacing w:before="100" w:beforeAutospacing="1" w:after="100" w:afterAutospacing="1"/>
        <w:rPr>
          <w:rFonts w:ascii="Times New Roman" w:eastAsia="Times New Roman" w:hAnsi="Times New Roman"/>
          <w:lang w:eastAsia="de-DE"/>
        </w:rPr>
      </w:pPr>
      <w:r w:rsidRPr="313151BF">
        <w:rPr>
          <w:rFonts w:ascii="Times New Roman" w:eastAsia="Times New Roman" w:hAnsi="Times New Roman"/>
          <w:lang w:eastAsia="de-DE"/>
        </w:rPr>
        <w:t>Die Kreuzigung Jesu reiht sich also in eine lange Tradition römischer Hinrichtungspraxis ein, wobei die Details der Durchführung den üblichen Prozeduren entsprachen.</w:t>
      </w:r>
      <w:commentRangeStart w:id="1"/>
      <w:commentRangeEnd w:id="1"/>
      <w:r w:rsidR="00D665E4">
        <w:commentReference w:id="1"/>
      </w:r>
    </w:p>
    <w:p w14:paraId="555A2878" w14:textId="2AEFFAFA" w:rsidR="00141719" w:rsidRDefault="45BC28BC" w:rsidP="00385415">
      <w:pPr>
        <w:pStyle w:val="berschrift1"/>
      </w:pPr>
      <w:r>
        <w:t>11. Psychologische Dimension der Leiden Jesu</w:t>
      </w:r>
    </w:p>
    <w:p w14:paraId="5713459C" w14:textId="4312773E" w:rsidR="009B6F19" w:rsidRDefault="45BC28BC" w:rsidP="00385415">
      <w:pPr>
        <w:pStyle w:val="berschrift2"/>
      </w:pPr>
      <w:r w:rsidRPr="45BC28BC">
        <w:rPr>
          <w:rStyle w:val="Fett"/>
        </w:rPr>
        <w:t>11.1 Analyse nach Psalm 69</w:t>
      </w:r>
    </w:p>
    <w:p w14:paraId="412C9A3F" w14:textId="77777777" w:rsidR="009B6F19" w:rsidRDefault="009B6F19" w:rsidP="009B6F19">
      <w:pPr>
        <w:pStyle w:val="whitespace-pre-wrap"/>
      </w:pPr>
      <w:r>
        <w:t>Psalm 69 bietet eine prophetische Vorschau auf das Leiden Jesu Christi und enthält zahlreiche messianische Hinweise, die in der Kreuzigungserzählung ihre Erfüllung finden.</w:t>
      </w:r>
    </w:p>
    <w:p w14:paraId="51D07887" w14:textId="77777777" w:rsidR="009B6F19" w:rsidRDefault="009B6F19" w:rsidP="009B6F19">
      <w:pPr>
        <w:pStyle w:val="berschrift3"/>
      </w:pPr>
      <w:r w:rsidRPr="00D8545E">
        <w:rPr>
          <w:rFonts w:ascii="Times New Roman" w:eastAsia="Times New Roman" w:hAnsi="Times New Roman"/>
          <w:sz w:val="24"/>
          <w:szCs w:val="24"/>
          <w:lang w:eastAsia="de-DE"/>
        </w:rPr>
        <w:t>Strukturelle Analyse</w:t>
      </w:r>
      <w:r w:rsidR="00D8545E">
        <w:rPr>
          <w:rFonts w:ascii="Times New Roman" w:eastAsia="Times New Roman" w:hAnsi="Times New Roman"/>
          <w:sz w:val="24"/>
          <w:szCs w:val="24"/>
          <w:lang w:eastAsia="de-DE"/>
        </w:rPr>
        <w:t>:</w:t>
      </w:r>
    </w:p>
    <w:p w14:paraId="22D8BFE8" w14:textId="77777777" w:rsidR="009B6F19" w:rsidRDefault="009B6F19" w:rsidP="009B6F19">
      <w:pPr>
        <w:pStyle w:val="whitespace-pre-wrap"/>
      </w:pPr>
      <w:r>
        <w:t>Der Psalm gliedert sich in mehrere zentrale Abschnitte, die tiefe Einblicke in die seelische Verfassung des leidenden Gerechten geben:</w:t>
      </w:r>
    </w:p>
    <w:p w14:paraId="799D599D" w14:textId="77777777" w:rsidR="009B6F19" w:rsidRPr="00943CBA" w:rsidRDefault="009B6F19" w:rsidP="001B6D02">
      <w:pPr>
        <w:numPr>
          <w:ilvl w:val="0"/>
          <w:numId w:val="49"/>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b/>
          <w:bCs/>
          <w:lang w:eastAsia="de-DE"/>
        </w:rPr>
        <w:t>Existenzielle Bedrängnis</w:t>
      </w:r>
    </w:p>
    <w:p w14:paraId="3BDE636B" w14:textId="77777777" w:rsidR="009B6F19" w:rsidRPr="00943CBA" w:rsidRDefault="009B6F19" w:rsidP="001B6D02">
      <w:pPr>
        <w:numPr>
          <w:ilvl w:val="0"/>
          <w:numId w:val="50"/>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Metapher der Wasserflut als Bild totaler Bedrohung</w:t>
      </w:r>
    </w:p>
    <w:p w14:paraId="534FC2A5" w14:textId="77777777" w:rsidR="009B6F19" w:rsidRPr="00943CBA" w:rsidRDefault="009B6F19" w:rsidP="001B6D02">
      <w:pPr>
        <w:numPr>
          <w:ilvl w:val="0"/>
          <w:numId w:val="50"/>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Gefühl der Gottverlassenheit</w:t>
      </w:r>
    </w:p>
    <w:p w14:paraId="4453F423" w14:textId="77777777" w:rsidR="009B6F19" w:rsidRPr="00943CBA" w:rsidRDefault="009B6F19" w:rsidP="001B6D02">
      <w:pPr>
        <w:numPr>
          <w:ilvl w:val="0"/>
          <w:numId w:val="50"/>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Intensives Leiden durch Feindschaft und Ablehnung</w:t>
      </w:r>
    </w:p>
    <w:p w14:paraId="2C5DC253" w14:textId="77777777" w:rsidR="009B6F19" w:rsidRPr="00943CBA" w:rsidRDefault="009B6F19" w:rsidP="001B6D02">
      <w:pPr>
        <w:numPr>
          <w:ilvl w:val="0"/>
          <w:numId w:val="51"/>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b/>
          <w:bCs/>
          <w:lang w:eastAsia="de-DE"/>
        </w:rPr>
        <w:t>Leidenschaftlicher Hilferuf</w:t>
      </w:r>
    </w:p>
    <w:p w14:paraId="2D67885C" w14:textId="77777777" w:rsidR="009B6F19" w:rsidRPr="00943CBA" w:rsidRDefault="009B6F19" w:rsidP="001B6D02">
      <w:pPr>
        <w:numPr>
          <w:ilvl w:val="0"/>
          <w:numId w:val="52"/>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Direkte Anrufung Gottes</w:t>
      </w:r>
    </w:p>
    <w:p w14:paraId="154A46FA" w14:textId="77777777" w:rsidR="009B6F19" w:rsidRPr="00943CBA" w:rsidRDefault="009B6F19" w:rsidP="001B6D02">
      <w:pPr>
        <w:numPr>
          <w:ilvl w:val="0"/>
          <w:numId w:val="52"/>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lastRenderedPageBreak/>
        <w:t>Schreien aus tiefster Not</w:t>
      </w:r>
    </w:p>
    <w:p w14:paraId="502D635C" w14:textId="77777777" w:rsidR="009B6F19" w:rsidRPr="00943CBA" w:rsidRDefault="009B6F19" w:rsidP="001B6D02">
      <w:pPr>
        <w:numPr>
          <w:ilvl w:val="0"/>
          <w:numId w:val="52"/>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Bewusstsein der eigenen Verletzlichkeit</w:t>
      </w:r>
    </w:p>
    <w:p w14:paraId="73796AD4" w14:textId="77777777" w:rsidR="009B6F19" w:rsidRPr="00943CBA" w:rsidRDefault="009B6F19" w:rsidP="001B6D02">
      <w:pPr>
        <w:numPr>
          <w:ilvl w:val="0"/>
          <w:numId w:val="53"/>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b/>
          <w:bCs/>
          <w:lang w:eastAsia="de-DE"/>
        </w:rPr>
        <w:t>Prophetische Vorwegnahme</w:t>
      </w:r>
    </w:p>
    <w:p w14:paraId="6CF6829F" w14:textId="77777777" w:rsidR="009B6F19" w:rsidRPr="00943CBA" w:rsidRDefault="009B6F19" w:rsidP="001B6D02">
      <w:pPr>
        <w:numPr>
          <w:ilvl w:val="0"/>
          <w:numId w:val="54"/>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Detaillierte Beschreibungen, die später auf Jesus Christus zutreffen</w:t>
      </w:r>
    </w:p>
    <w:p w14:paraId="54D0D3F5" w14:textId="77777777" w:rsidR="009B6F19" w:rsidRPr="00943CBA" w:rsidRDefault="009B6F19" w:rsidP="001B6D02">
      <w:pPr>
        <w:numPr>
          <w:ilvl w:val="0"/>
          <w:numId w:val="54"/>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Unerwartete Präzision der Leiden</w:t>
      </w:r>
    </w:p>
    <w:p w14:paraId="4E87C373" w14:textId="77777777" w:rsidR="009B6F19" w:rsidRPr="00D8545E" w:rsidRDefault="009B6F19" w:rsidP="009B6F19">
      <w:pPr>
        <w:pStyle w:val="berschrift3"/>
        <w:rPr>
          <w:rFonts w:ascii="Times New Roman" w:eastAsia="Times New Roman" w:hAnsi="Times New Roman"/>
          <w:sz w:val="24"/>
          <w:szCs w:val="24"/>
          <w:lang w:eastAsia="de-DE"/>
        </w:rPr>
      </w:pPr>
      <w:r w:rsidRPr="00D8545E">
        <w:rPr>
          <w:rFonts w:ascii="Times New Roman" w:eastAsia="Times New Roman" w:hAnsi="Times New Roman"/>
          <w:sz w:val="24"/>
          <w:szCs w:val="24"/>
          <w:lang w:eastAsia="de-DE"/>
        </w:rPr>
        <w:t>Konkrete Parallelen zur Kreuzigung</w:t>
      </w:r>
      <w:r w:rsidR="00D8545E">
        <w:rPr>
          <w:rFonts w:ascii="Times New Roman" w:eastAsia="Times New Roman" w:hAnsi="Times New Roman"/>
          <w:sz w:val="24"/>
          <w:szCs w:val="24"/>
          <w:lang w:eastAsia="de-DE"/>
        </w:rPr>
        <w:t>:</w:t>
      </w:r>
    </w:p>
    <w:p w14:paraId="61E76072" w14:textId="77777777" w:rsidR="009B6F19" w:rsidRDefault="009B6F19" w:rsidP="009B6F19">
      <w:pPr>
        <w:pStyle w:val="whitespace-pre-wrap"/>
      </w:pPr>
      <w:r w:rsidRPr="00943CBA">
        <w:rPr>
          <w:b/>
          <w:bCs/>
        </w:rPr>
        <w:t>Vers 4</w:t>
      </w:r>
      <w:r>
        <w:t>: "Mehr als die Haare auf meinem Haupt sind die mich grundlos hassen"</w:t>
      </w:r>
    </w:p>
    <w:p w14:paraId="72A3305A" w14:textId="77777777" w:rsidR="009B6F19" w:rsidRPr="00943CBA" w:rsidRDefault="009B6F19" w:rsidP="001B6D02">
      <w:pPr>
        <w:numPr>
          <w:ilvl w:val="0"/>
          <w:numId w:val="55"/>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Entspricht der unmotivierten Feindschaft gegen Jesus</w:t>
      </w:r>
    </w:p>
    <w:p w14:paraId="5AD38E4A" w14:textId="77777777" w:rsidR="009B6F19" w:rsidRPr="00943CBA" w:rsidRDefault="009B6F19" w:rsidP="001B6D02">
      <w:pPr>
        <w:numPr>
          <w:ilvl w:val="0"/>
          <w:numId w:val="55"/>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Zeigt die Ungerechtigkeit seiner Verurteilung</w:t>
      </w:r>
    </w:p>
    <w:p w14:paraId="5BEB38CE" w14:textId="77777777" w:rsidR="009B6F19" w:rsidRDefault="009B6F19" w:rsidP="009B6F19">
      <w:pPr>
        <w:pStyle w:val="whitespace-pre-wrap"/>
      </w:pPr>
      <w:r w:rsidRPr="00943CBA">
        <w:rPr>
          <w:b/>
          <w:bCs/>
        </w:rPr>
        <w:t>Vers 8</w:t>
      </w:r>
      <w:r>
        <w:t>: "Fremd bin ich geworden meinen Brüdern"</w:t>
      </w:r>
    </w:p>
    <w:p w14:paraId="5DC2AF3A" w14:textId="77777777" w:rsidR="009B6F19" w:rsidRPr="00943CBA" w:rsidRDefault="009B6F19" w:rsidP="001B6D02">
      <w:pPr>
        <w:numPr>
          <w:ilvl w:val="0"/>
          <w:numId w:val="56"/>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Beschreibt die Isolation Jesu</w:t>
      </w:r>
    </w:p>
    <w:p w14:paraId="2644B7EA" w14:textId="77777777" w:rsidR="009B6F19" w:rsidRPr="00943CBA" w:rsidRDefault="009B6F19" w:rsidP="001B6D02">
      <w:pPr>
        <w:numPr>
          <w:ilvl w:val="0"/>
          <w:numId w:val="56"/>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Seine Ablehnung durch die eigene Volksgemeinschaft</w:t>
      </w:r>
    </w:p>
    <w:p w14:paraId="2EB2F68C" w14:textId="77777777" w:rsidR="009B6F19" w:rsidRDefault="009B6F19" w:rsidP="009B6F19">
      <w:pPr>
        <w:pStyle w:val="whitespace-pre-wrap"/>
      </w:pPr>
      <w:r w:rsidRPr="00943CBA">
        <w:rPr>
          <w:b/>
          <w:bCs/>
        </w:rPr>
        <w:t>Vers 9</w:t>
      </w:r>
      <w:r>
        <w:t>: "Der Eifer für dein Haus hat mich gefressen"</w:t>
      </w:r>
    </w:p>
    <w:p w14:paraId="0569A98A" w14:textId="77777777" w:rsidR="009B6F19" w:rsidRPr="00943CBA" w:rsidRDefault="009B6F19" w:rsidP="001B6D02">
      <w:pPr>
        <w:numPr>
          <w:ilvl w:val="0"/>
          <w:numId w:val="57"/>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Direkte Anspielung auf Jesu Tempelreinigung</w:t>
      </w:r>
    </w:p>
    <w:p w14:paraId="4D62072D" w14:textId="77777777" w:rsidR="009B6F19" w:rsidRPr="00943CBA" w:rsidRDefault="009B6F19" w:rsidP="001B6D02">
      <w:pPr>
        <w:numPr>
          <w:ilvl w:val="0"/>
          <w:numId w:val="57"/>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Leidenschaftlicher Einsatz für die Reinheit Gottes</w:t>
      </w:r>
    </w:p>
    <w:p w14:paraId="2BE50C2F" w14:textId="77777777" w:rsidR="009B6F19" w:rsidRDefault="009B6F19" w:rsidP="009B6F19">
      <w:pPr>
        <w:pStyle w:val="whitespace-pre-wrap"/>
      </w:pPr>
      <w:r w:rsidRPr="00943CBA">
        <w:rPr>
          <w:b/>
          <w:bCs/>
        </w:rPr>
        <w:t>Vers 21</w:t>
      </w:r>
      <w:r>
        <w:t>: "Sie gaben mir Galle zu essen und in meinem Durst tränkten sie mich mit Essig"</w:t>
      </w:r>
    </w:p>
    <w:p w14:paraId="63749AB2" w14:textId="77777777" w:rsidR="009B6F19" w:rsidRPr="00943CBA" w:rsidRDefault="009B6F19" w:rsidP="001B6D02">
      <w:pPr>
        <w:numPr>
          <w:ilvl w:val="0"/>
          <w:numId w:val="58"/>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Wörtliche Erfüllung während der Kreuzigung</w:t>
      </w:r>
    </w:p>
    <w:p w14:paraId="3DD47DF2" w14:textId="77777777" w:rsidR="009B6F19" w:rsidRPr="00943CBA" w:rsidRDefault="009B6F19" w:rsidP="001B6D02">
      <w:pPr>
        <w:numPr>
          <w:ilvl w:val="0"/>
          <w:numId w:val="58"/>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Buchstäbliche Entsprechung bei der Kreuzigungsszene</w:t>
      </w:r>
    </w:p>
    <w:p w14:paraId="11A52676" w14:textId="77777777" w:rsidR="009B6F19" w:rsidRPr="00D8545E" w:rsidRDefault="009B6F19" w:rsidP="009B6F19">
      <w:pPr>
        <w:pStyle w:val="berschrift3"/>
        <w:rPr>
          <w:rFonts w:ascii="Times New Roman" w:eastAsia="Times New Roman" w:hAnsi="Times New Roman"/>
          <w:sz w:val="24"/>
          <w:szCs w:val="24"/>
          <w:lang w:eastAsia="de-DE"/>
        </w:rPr>
      </w:pPr>
      <w:r w:rsidRPr="00D8545E">
        <w:rPr>
          <w:rFonts w:ascii="Times New Roman" w:eastAsia="Times New Roman" w:hAnsi="Times New Roman"/>
          <w:sz w:val="24"/>
          <w:szCs w:val="24"/>
          <w:lang w:eastAsia="de-DE"/>
        </w:rPr>
        <w:lastRenderedPageBreak/>
        <w:t>Psychologische Dimension</w:t>
      </w:r>
      <w:r w:rsidR="00D8545E">
        <w:rPr>
          <w:rFonts w:ascii="Times New Roman" w:eastAsia="Times New Roman" w:hAnsi="Times New Roman"/>
          <w:sz w:val="24"/>
          <w:szCs w:val="24"/>
          <w:lang w:eastAsia="de-DE"/>
        </w:rPr>
        <w:t>:</w:t>
      </w:r>
    </w:p>
    <w:p w14:paraId="057606EC" w14:textId="77777777" w:rsidR="009B6F19" w:rsidRDefault="009B6F19" w:rsidP="009B6F19">
      <w:pPr>
        <w:pStyle w:val="whitespace-pre-wrap"/>
      </w:pPr>
      <w:r>
        <w:t>Der Psalm offenbart die tiefgreifenden seelischen Dimensionen des Leidens:</w:t>
      </w:r>
    </w:p>
    <w:p w14:paraId="66AB89B1" w14:textId="77777777" w:rsidR="009B6F19" w:rsidRPr="00943CBA" w:rsidRDefault="009B6F19" w:rsidP="001B6D02">
      <w:pPr>
        <w:numPr>
          <w:ilvl w:val="0"/>
          <w:numId w:val="59"/>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Gefühl der Gottverlassenheit</w:t>
      </w:r>
    </w:p>
    <w:p w14:paraId="1726CA7A" w14:textId="77777777" w:rsidR="009B6F19" w:rsidRPr="00943CBA" w:rsidRDefault="009B6F19" w:rsidP="001B6D02">
      <w:pPr>
        <w:numPr>
          <w:ilvl w:val="0"/>
          <w:numId w:val="59"/>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Schmerz der Ablehnung</w:t>
      </w:r>
    </w:p>
    <w:p w14:paraId="1BE8F839" w14:textId="77777777" w:rsidR="009B6F19" w:rsidRPr="00943CBA" w:rsidRDefault="009B6F19" w:rsidP="001B6D02">
      <w:pPr>
        <w:numPr>
          <w:ilvl w:val="0"/>
          <w:numId w:val="59"/>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Ringen mit existenzieller Bedrohung</w:t>
      </w:r>
    </w:p>
    <w:p w14:paraId="289E4939" w14:textId="77777777" w:rsidR="009B6F19" w:rsidRPr="00943CBA" w:rsidRDefault="009B6F19" w:rsidP="001B6D02">
      <w:pPr>
        <w:numPr>
          <w:ilvl w:val="0"/>
          <w:numId w:val="59"/>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Hoffnung trotz äußerster Verzweiflung</w:t>
      </w:r>
    </w:p>
    <w:p w14:paraId="31723797" w14:textId="77777777" w:rsidR="009B6F19" w:rsidRPr="00D8545E" w:rsidRDefault="009B6F19" w:rsidP="009B6F19">
      <w:pPr>
        <w:pStyle w:val="berschrift3"/>
        <w:rPr>
          <w:rFonts w:ascii="Times New Roman" w:eastAsia="Times New Roman" w:hAnsi="Times New Roman"/>
          <w:sz w:val="24"/>
          <w:szCs w:val="24"/>
          <w:lang w:eastAsia="de-DE"/>
        </w:rPr>
      </w:pPr>
      <w:r w:rsidRPr="00D8545E">
        <w:rPr>
          <w:rFonts w:ascii="Times New Roman" w:eastAsia="Times New Roman" w:hAnsi="Times New Roman"/>
          <w:sz w:val="24"/>
          <w:szCs w:val="24"/>
          <w:lang w:eastAsia="de-DE"/>
        </w:rPr>
        <w:t>Theologische Interpretation</w:t>
      </w:r>
      <w:r w:rsidR="00D8545E">
        <w:rPr>
          <w:rFonts w:ascii="Times New Roman" w:eastAsia="Times New Roman" w:hAnsi="Times New Roman"/>
          <w:sz w:val="24"/>
          <w:szCs w:val="24"/>
          <w:lang w:eastAsia="de-DE"/>
        </w:rPr>
        <w:t>:</w:t>
      </w:r>
    </w:p>
    <w:p w14:paraId="7B823C61" w14:textId="77777777" w:rsidR="009B6F19" w:rsidRDefault="009B6F19" w:rsidP="009B6F19">
      <w:pPr>
        <w:pStyle w:val="whitespace-pre-wrap"/>
      </w:pPr>
      <w:r>
        <w:t>Der Psalm zeigt:</w:t>
      </w:r>
    </w:p>
    <w:p w14:paraId="7881E1D0" w14:textId="77777777" w:rsidR="009B6F19" w:rsidRPr="00943CBA" w:rsidRDefault="009B6F19" w:rsidP="001B6D02">
      <w:pPr>
        <w:numPr>
          <w:ilvl w:val="0"/>
          <w:numId w:val="60"/>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Das stellvertretende Leiden des Gerechten</w:t>
      </w:r>
    </w:p>
    <w:p w14:paraId="4F080492" w14:textId="77777777" w:rsidR="009B6F19" w:rsidRPr="00943CBA" w:rsidRDefault="009B6F19" w:rsidP="001B6D02">
      <w:pPr>
        <w:numPr>
          <w:ilvl w:val="0"/>
          <w:numId w:val="60"/>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Gottes Plan zur Erlösung</w:t>
      </w:r>
    </w:p>
    <w:p w14:paraId="19683A68" w14:textId="77777777" w:rsidR="009B6F19" w:rsidRPr="00943CBA" w:rsidRDefault="009B6F19" w:rsidP="001B6D02">
      <w:pPr>
        <w:numPr>
          <w:ilvl w:val="0"/>
          <w:numId w:val="60"/>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Die Transformation von Leiden in Herrlichkeit</w:t>
      </w:r>
    </w:p>
    <w:p w14:paraId="582C82A9" w14:textId="77777777" w:rsidR="009B6F19" w:rsidRPr="00943CBA" w:rsidRDefault="009B6F19" w:rsidP="001B6D02">
      <w:pPr>
        <w:numPr>
          <w:ilvl w:val="0"/>
          <w:numId w:val="60"/>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Universale Bedeutung individuellen Schmerzes</w:t>
      </w:r>
    </w:p>
    <w:p w14:paraId="0DD06C35" w14:textId="77777777" w:rsidR="009B6F19" w:rsidRPr="00D8545E" w:rsidRDefault="009B6F19" w:rsidP="009B6F19">
      <w:pPr>
        <w:pStyle w:val="berschrift3"/>
        <w:rPr>
          <w:rFonts w:ascii="Times New Roman" w:eastAsia="Times New Roman" w:hAnsi="Times New Roman"/>
          <w:sz w:val="24"/>
          <w:szCs w:val="24"/>
          <w:lang w:eastAsia="de-DE"/>
        </w:rPr>
      </w:pPr>
      <w:r w:rsidRPr="00D8545E">
        <w:rPr>
          <w:rFonts w:ascii="Times New Roman" w:eastAsia="Times New Roman" w:hAnsi="Times New Roman"/>
          <w:sz w:val="24"/>
          <w:szCs w:val="24"/>
          <w:lang w:eastAsia="de-DE"/>
        </w:rPr>
        <w:t>Christologische Perspektive</w:t>
      </w:r>
      <w:r w:rsidR="00D8545E">
        <w:rPr>
          <w:rFonts w:ascii="Times New Roman" w:eastAsia="Times New Roman" w:hAnsi="Times New Roman"/>
          <w:sz w:val="24"/>
          <w:szCs w:val="24"/>
          <w:lang w:eastAsia="de-DE"/>
        </w:rPr>
        <w:t>:</w:t>
      </w:r>
    </w:p>
    <w:p w14:paraId="316CB5B4" w14:textId="77777777" w:rsidR="009B6F19" w:rsidRDefault="009B6F19" w:rsidP="009B6F19">
      <w:pPr>
        <w:pStyle w:val="whitespace-pre-wrap"/>
      </w:pPr>
      <w:r>
        <w:t xml:space="preserve">Jesus selbst las und interpretierte diesen Psalm als Vorausschau auf sein eigenes Geschehen. Er </w:t>
      </w:r>
      <w:r w:rsidR="00DE2FF8">
        <w:t>wusste</w:t>
      </w:r>
      <w:r>
        <w:t>:</w:t>
      </w:r>
    </w:p>
    <w:p w14:paraId="75232FFA" w14:textId="77777777" w:rsidR="009B6F19" w:rsidRPr="00943CBA" w:rsidRDefault="009B6F19" w:rsidP="001B6D02">
      <w:pPr>
        <w:numPr>
          <w:ilvl w:val="0"/>
          <w:numId w:val="61"/>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Seine göttliche Sendung</w:t>
      </w:r>
    </w:p>
    <w:p w14:paraId="06B2D65D" w14:textId="77777777" w:rsidR="009B6F19" w:rsidRPr="00943CBA" w:rsidRDefault="009B6F19" w:rsidP="001B6D02">
      <w:pPr>
        <w:numPr>
          <w:ilvl w:val="0"/>
          <w:numId w:val="61"/>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Den Weg des Leidens</w:t>
      </w:r>
    </w:p>
    <w:p w14:paraId="5156F124" w14:textId="77777777" w:rsidR="009B6F19" w:rsidRPr="00943CBA" w:rsidRDefault="009B6F19" w:rsidP="001B6D02">
      <w:pPr>
        <w:numPr>
          <w:ilvl w:val="0"/>
          <w:numId w:val="61"/>
        </w:numPr>
        <w:spacing w:before="100" w:beforeAutospacing="1" w:after="100" w:afterAutospacing="1"/>
        <w:rPr>
          <w:rFonts w:ascii="Times New Roman" w:eastAsia="Times New Roman" w:hAnsi="Times New Roman"/>
          <w:lang w:eastAsia="de-DE"/>
        </w:rPr>
      </w:pPr>
      <w:r w:rsidRPr="00943CBA">
        <w:rPr>
          <w:rFonts w:ascii="Times New Roman" w:eastAsia="Times New Roman" w:hAnsi="Times New Roman"/>
          <w:lang w:eastAsia="de-DE"/>
        </w:rPr>
        <w:t>Die erlösende Bedeutung seines Opfers</w:t>
      </w:r>
    </w:p>
    <w:p w14:paraId="0F9EC349" w14:textId="77777777" w:rsidR="009B6F19" w:rsidRDefault="009B6F19" w:rsidP="009B6F19">
      <w:pPr>
        <w:pStyle w:val="whitespace-pre-wrap"/>
      </w:pPr>
      <w:r>
        <w:t>Die Analyse von Psalm 69 offenbart eine bemerkenswerte prophetische Vorwegnahme der Kreuzigungsereignisse, die weit über eine zufällige Ähnlichkeit hinausgeht und eine tiefe theologische Kontinuität zwischen alttestamentlicher Prophetie und neutestamentlicher Erfüllung aufzeigt.</w:t>
      </w:r>
    </w:p>
    <w:p w14:paraId="44B2A771" w14:textId="550ACB7F" w:rsidR="00A75ABA" w:rsidRPr="00A75ABA" w:rsidRDefault="45BC28BC" w:rsidP="00D8545E">
      <w:pPr>
        <w:pStyle w:val="berschrift2"/>
        <w:rPr>
          <w:rFonts w:eastAsia="Times New Roman"/>
          <w:lang w:eastAsia="de-DE"/>
        </w:rPr>
      </w:pPr>
      <w:r w:rsidRPr="45BC28BC">
        <w:rPr>
          <w:rFonts w:eastAsia="Times New Roman"/>
          <w:lang w:eastAsia="de-DE"/>
        </w:rPr>
        <w:lastRenderedPageBreak/>
        <w:t>11.2. Prophetische Vorausschau in Psalm 22 und Jesaja 53</w:t>
      </w:r>
    </w:p>
    <w:p w14:paraId="78FDA969"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Die alttestamentlichen Texte Psalm 22 und Jesaja 53 bieten eine bemerkenswert präzise Vorausschau auf die Kreuzigung Christi. Während Psalm 22 besonders die physischen Aspekte und unmittelbaren Erlebnisse beschreibt, fokussiert sich Jesaja 53 auf die tiefere theologische Bedeutung des Leidens.</w:t>
      </w:r>
    </w:p>
    <w:p w14:paraId="4D28274D"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b/>
          <w:bCs/>
          <w:lang w:eastAsia="de-DE"/>
        </w:rPr>
        <w:t>Psalm 22 - Physische Details und Unmittelbarkeit:</w:t>
      </w:r>
    </w:p>
    <w:p w14:paraId="68ECA9BF" w14:textId="77777777" w:rsidR="00A75ABA" w:rsidRPr="00A75ABA" w:rsidRDefault="00A75ABA" w:rsidP="00714222">
      <w:pPr>
        <w:numPr>
          <w:ilvl w:val="0"/>
          <w:numId w:val="157"/>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Die tiefe Gottverlassenheit ("Mein Gott, warum hast du mich verlassen?")</w:t>
      </w:r>
    </w:p>
    <w:p w14:paraId="52C634AE" w14:textId="77777777" w:rsidR="00A75ABA" w:rsidRPr="00A75ABA" w:rsidRDefault="00A75ABA" w:rsidP="00714222">
      <w:pPr>
        <w:numPr>
          <w:ilvl w:val="0"/>
          <w:numId w:val="157"/>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Präzise physiologische Beschreibungen der Dehydration ("Meine Kraft ist vertrocknet")</w:t>
      </w:r>
    </w:p>
    <w:p w14:paraId="465DD935" w14:textId="77777777" w:rsidR="00A75ABA" w:rsidRPr="00A75ABA" w:rsidRDefault="00A75ABA" w:rsidP="00714222">
      <w:pPr>
        <w:numPr>
          <w:ilvl w:val="0"/>
          <w:numId w:val="157"/>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Exakte Voraussagen spezifischer Ereignisse wie die Verteilung der Kleider und die Durchbohrung von Händen und Füßen</w:t>
      </w:r>
    </w:p>
    <w:p w14:paraId="43105B58" w14:textId="77777777" w:rsidR="00A75ABA" w:rsidRPr="00A75ABA" w:rsidRDefault="00A75ABA" w:rsidP="00714222">
      <w:pPr>
        <w:numPr>
          <w:ilvl w:val="0"/>
          <w:numId w:val="157"/>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Detaillierte Beschreibung der körperlichen Erschöpfungszustände</w:t>
      </w:r>
    </w:p>
    <w:p w14:paraId="779481E5" w14:textId="77777777" w:rsidR="00A75ABA" w:rsidRPr="00A75ABA" w:rsidRDefault="00A75ABA" w:rsidP="00714222">
      <w:pPr>
        <w:numPr>
          <w:ilvl w:val="0"/>
          <w:numId w:val="157"/>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Die psychologische Dimension der Verspottung und Verhöhnung</w:t>
      </w:r>
    </w:p>
    <w:p w14:paraId="39F85236"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b/>
          <w:bCs/>
          <w:lang w:eastAsia="de-DE"/>
        </w:rPr>
        <w:t>Jesaja 53 - Theologische Dimension:</w:t>
      </w:r>
    </w:p>
    <w:p w14:paraId="0B62D686" w14:textId="77777777" w:rsidR="00A75ABA" w:rsidRPr="00A75ABA" w:rsidRDefault="00A75ABA" w:rsidP="00714222">
      <w:pPr>
        <w:numPr>
          <w:ilvl w:val="0"/>
          <w:numId w:val="158"/>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Der stellvertretende Charakter des Leidens ("Um unserer Missetat willen verwundet")</w:t>
      </w:r>
    </w:p>
    <w:p w14:paraId="1AFF9CCF" w14:textId="77777777" w:rsidR="00A75ABA" w:rsidRPr="00A75ABA" w:rsidRDefault="00A75ABA" w:rsidP="00714222">
      <w:pPr>
        <w:numPr>
          <w:ilvl w:val="0"/>
          <w:numId w:val="158"/>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Die freiwillige Hingabe ("Wie ein Lamm, das zur Schlachtbank geführt wird")</w:t>
      </w:r>
    </w:p>
    <w:p w14:paraId="2FC1A73F" w14:textId="77777777" w:rsidR="00A75ABA" w:rsidRPr="00A75ABA" w:rsidRDefault="00A75ABA" w:rsidP="00714222">
      <w:pPr>
        <w:numPr>
          <w:ilvl w:val="0"/>
          <w:numId w:val="158"/>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Die extreme körperliche Entstellung durch Misshandlung</w:t>
      </w:r>
    </w:p>
    <w:p w14:paraId="6EACB96B" w14:textId="77777777" w:rsidR="00A75ABA" w:rsidRPr="00A75ABA" w:rsidRDefault="00A75ABA" w:rsidP="00714222">
      <w:pPr>
        <w:numPr>
          <w:ilvl w:val="0"/>
          <w:numId w:val="158"/>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Die paradoxe Situation des Begräbnisses ("Bei Reichen in seinem Tod")</w:t>
      </w:r>
    </w:p>
    <w:p w14:paraId="39ED31E6" w14:textId="77777777" w:rsidR="00A75ABA" w:rsidRPr="00A75ABA" w:rsidRDefault="00A75ABA" w:rsidP="00714222">
      <w:pPr>
        <w:numPr>
          <w:ilvl w:val="0"/>
          <w:numId w:val="158"/>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Die Gewissheit der Auferstehung und nachfolgenden Erhöhung</w:t>
      </w:r>
    </w:p>
    <w:p w14:paraId="3A8F55D9" w14:textId="77777777" w:rsid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lastRenderedPageBreak/>
        <w:t>Die prophetische Präzision beider Texte zeigt sich besonders in der Komplementarität ihrer Perspektiven: Während Psalm 22 die unmittelbare Erfahrung des Leidens beschreibt, enthüllt Jesaja 53 dessen tiefere Heilsbedeutung. Die medizinische Genauigkeit der physiologischen Beschreibungen in Psalm 22 und die theologische Tiefe der Deutung in Jesaja 53 ergeben zusammen ein erstaunlich vollständiges Bild der Kreuzigung - Jahrhunderte vor dem tatsächlichen Ereignis.</w:t>
      </w:r>
    </w:p>
    <w:p w14:paraId="7DDED61D"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b/>
          <w:bCs/>
          <w:lang w:eastAsia="de-DE"/>
        </w:rPr>
        <w:t>Wahrscheinlichkeitsberechnung der Erfüllung:</w:t>
      </w:r>
    </w:p>
    <w:p w14:paraId="7FD7CCA0"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Betrachten wir die spezifischen Vorhersagen und ihre unabhängige Erfüllung:</w:t>
      </w:r>
    </w:p>
    <w:p w14:paraId="1B64A627"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Psalm 22:</w:t>
      </w:r>
    </w:p>
    <w:p w14:paraId="6598F9F3" w14:textId="77777777" w:rsidR="00A75ABA" w:rsidRPr="00A75ABA" w:rsidRDefault="00A75ABA" w:rsidP="00714222">
      <w:pPr>
        <w:numPr>
          <w:ilvl w:val="0"/>
          <w:numId w:val="159"/>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Gottverlassenheit und wörtlicher Ausruf (1/100)</w:t>
      </w:r>
    </w:p>
    <w:p w14:paraId="2A1AC5B7" w14:textId="77777777" w:rsidR="00A75ABA" w:rsidRPr="00A75ABA" w:rsidRDefault="00A75ABA" w:rsidP="00714222">
      <w:pPr>
        <w:numPr>
          <w:ilvl w:val="0"/>
          <w:numId w:val="159"/>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Durchbohrung von Händen und Füßen (1/100)</w:t>
      </w:r>
    </w:p>
    <w:p w14:paraId="43C4A760" w14:textId="77777777" w:rsidR="00A75ABA" w:rsidRPr="00A75ABA" w:rsidRDefault="00A75ABA" w:rsidP="00714222">
      <w:pPr>
        <w:numPr>
          <w:ilvl w:val="0"/>
          <w:numId w:val="159"/>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Verteilung der Kleider durch Los (1/1000)</w:t>
      </w:r>
    </w:p>
    <w:p w14:paraId="7B5B4989" w14:textId="77777777" w:rsidR="00A75ABA" w:rsidRPr="00A75ABA" w:rsidRDefault="00A75ABA" w:rsidP="00714222">
      <w:pPr>
        <w:numPr>
          <w:ilvl w:val="0"/>
          <w:numId w:val="159"/>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Präzise physiologische Beschreibungen (1/1000)</w:t>
      </w:r>
    </w:p>
    <w:p w14:paraId="1166B743" w14:textId="77777777" w:rsidR="00A75ABA" w:rsidRPr="00A75ABA" w:rsidRDefault="00A75ABA" w:rsidP="00714222">
      <w:pPr>
        <w:numPr>
          <w:ilvl w:val="0"/>
          <w:numId w:val="159"/>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Verspottung durch Umstehende (1/100)</w:t>
      </w:r>
    </w:p>
    <w:p w14:paraId="1B05EEF9"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Jesaja 53:</w:t>
      </w:r>
    </w:p>
    <w:p w14:paraId="5321C33C" w14:textId="77777777" w:rsidR="00A75ABA" w:rsidRPr="00A75ABA" w:rsidRDefault="00A75ABA" w:rsidP="00714222">
      <w:pPr>
        <w:numPr>
          <w:ilvl w:val="0"/>
          <w:numId w:val="160"/>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Freiwilliges Schweigen vor Richtern (1/100)</w:t>
      </w:r>
    </w:p>
    <w:p w14:paraId="22779283" w14:textId="77777777" w:rsidR="00A75ABA" w:rsidRPr="00A75ABA" w:rsidRDefault="00A75ABA" w:rsidP="00714222">
      <w:pPr>
        <w:numPr>
          <w:ilvl w:val="0"/>
          <w:numId w:val="160"/>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Sterben mit Verbrechern (1/100)</w:t>
      </w:r>
    </w:p>
    <w:p w14:paraId="3613602D" w14:textId="77777777" w:rsidR="00A75ABA" w:rsidRPr="00A75ABA" w:rsidRDefault="00A75ABA" w:rsidP="00714222">
      <w:pPr>
        <w:numPr>
          <w:ilvl w:val="0"/>
          <w:numId w:val="160"/>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Begräbnis bei einem Reichen (1/1000)</w:t>
      </w:r>
    </w:p>
    <w:p w14:paraId="355CD850" w14:textId="77777777" w:rsidR="00A75ABA" w:rsidRPr="00A75ABA" w:rsidRDefault="00A75ABA" w:rsidP="00714222">
      <w:pPr>
        <w:numPr>
          <w:ilvl w:val="0"/>
          <w:numId w:val="160"/>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Stellvertretender Tod für andere (1/100)</w:t>
      </w:r>
    </w:p>
    <w:p w14:paraId="4E4CFA47" w14:textId="77777777" w:rsidR="00A75ABA" w:rsidRPr="00A75ABA" w:rsidRDefault="00A75ABA" w:rsidP="00714222">
      <w:pPr>
        <w:numPr>
          <w:ilvl w:val="0"/>
          <w:numId w:val="160"/>
        </w:num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Auferstehung vorhergesagt (1/1000)</w:t>
      </w:r>
    </w:p>
    <w:p w14:paraId="4EAE5470"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Gesamtwahrscheinlichkeit (multiplizierte Einzelwahrscheinlichkeiten): 1/100 × 1/100 × 1/1000 × 1/1000 × 1/100 × 1/100 × 1/100 × 1/1000 × 1/100 × 1/1000 = 1/10^20</w:t>
      </w:r>
    </w:p>
    <w:p w14:paraId="6526AD5E"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lastRenderedPageBreak/>
        <w:t>Dies bedeutet eine Wahrscheinlichkeit von 1 zu 100 Trillion (10^20), dass alle diese spezifischen Prophezeiungen zufällig in einer Person erfüllt werden. Diese mathematische Analyse unterstreicht die außergewöhnliche Präzision der prophetischen Texte und ihre zielgerichtete Erfüllung in den Kreuzigungsereignissen.</w:t>
      </w:r>
    </w:p>
    <w:p w14:paraId="56F425DC"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b/>
          <w:bCs/>
          <w:lang w:eastAsia="de-DE"/>
        </w:rPr>
        <w:t>Veranschaulichung der Wahrscheinlichkeit:</w:t>
      </w:r>
    </w:p>
    <w:p w14:paraId="56427D85" w14:textId="77777777" w:rsidR="00A75ABA" w:rsidRPr="00A75ABA" w:rsidRDefault="00A75ABA" w:rsidP="00A75ABA">
      <w:pPr>
        <w:spacing w:before="100" w:beforeAutospacing="1" w:after="100" w:afterAutospacing="1"/>
        <w:rPr>
          <w:rFonts w:ascii="Times New Roman" w:eastAsia="Times New Roman" w:hAnsi="Times New Roman"/>
          <w:lang w:eastAsia="de-DE"/>
        </w:rPr>
      </w:pPr>
      <w:r w:rsidRPr="00A75ABA">
        <w:rPr>
          <w:rFonts w:ascii="Times New Roman" w:eastAsia="Times New Roman" w:hAnsi="Times New Roman"/>
          <w:lang w:eastAsia="de-DE"/>
        </w:rPr>
        <w:t>Stellen Sie sich vor, ganz Texas wäre mit Münzen im Wert von einem Euro bedeckt, gestapelt bis zur Höhe von einem Meter. Eine einzige dieser Münzen ist markiert. Die Wahrscheinlichkeit, diese eine markierte Münze beim ersten Versuch blind zu greifen, entspricht in etwa der Wahrscheinlichkeit, dass alle diese Prophezeiungen zufällig in einer Person erfüllt werden.</w:t>
      </w:r>
    </w:p>
    <w:p w14:paraId="19ABC605" w14:textId="79147F46" w:rsidR="00A75ABA" w:rsidRPr="00A75ABA"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Times New Roman"/>
          <w:lang w:eastAsia="de-DE"/>
        </w:rPr>
        <w:t>Oder anders ausgedrückt: Die Wahrscheinlichkeit entspricht dem Versuch, ein bestimmtes, markiertes Sandkorn unter allen Sandkörnern der Sahara beim ersten Griff zu finden.</w:t>
      </w:r>
    </w:p>
    <w:p w14:paraId="56E04BDE" w14:textId="77777777" w:rsidR="00A75ABA" w:rsidRPr="00A75ABA" w:rsidRDefault="39B6E210" w:rsidP="00A75ABA">
      <w:pPr>
        <w:spacing w:before="100" w:beforeAutospacing="1" w:after="100" w:afterAutospacing="1"/>
        <w:rPr>
          <w:rFonts w:ascii="Times New Roman" w:eastAsia="Times New Roman" w:hAnsi="Times New Roman"/>
          <w:lang w:eastAsia="de-DE"/>
        </w:rPr>
      </w:pPr>
      <w:r w:rsidRPr="39B6E210">
        <w:rPr>
          <w:rFonts w:ascii="Times New Roman" w:eastAsia="Times New Roman" w:hAnsi="Times New Roman"/>
          <w:lang w:eastAsia="de-DE"/>
        </w:rPr>
        <w:t>Diese Veranschaulichungen zeigen, dass eine zufällige Erfüllung aller prophetischen Details praktisch ausgeschlossen ist und auf eine gezielte, göttliche Vorausplanung hindeutet.</w:t>
      </w:r>
    </w:p>
    <w:p w14:paraId="1D8B2893" w14:textId="7FB1CEAD" w:rsidR="00C304F2" w:rsidRDefault="45BC28BC" w:rsidP="00C304F2">
      <w:pPr>
        <w:pStyle w:val="berschrift1"/>
        <w:rPr>
          <w:sz w:val="48"/>
          <w:szCs w:val="48"/>
        </w:rPr>
      </w:pPr>
      <w:r>
        <w:t>12. Zusammenfassung</w:t>
      </w:r>
    </w:p>
    <w:p w14:paraId="619C7208" w14:textId="77777777" w:rsidR="00C304F2" w:rsidRDefault="00C304F2" w:rsidP="00C304F2">
      <w:pPr>
        <w:pStyle w:val="whitespace-pre-wrap"/>
      </w:pPr>
      <w:r>
        <w:t>Die vorliegende wissenschaftliche Analyse der Kreuzigung Jesu Christi kombiniert historische, medizinische, physikalische und archäologische Perspektiven zu einem umfassenden Gesamtbild. Die Untersuchung zeigt eine bemerkenswerte Konvergenz verschiedener Evidenzlinien:</w:t>
      </w:r>
    </w:p>
    <w:p w14:paraId="6F692A08" w14:textId="77777777" w:rsidR="00C304F2" w:rsidRDefault="00C304F2" w:rsidP="00C304F2">
      <w:pPr>
        <w:pStyle w:val="whitespace-pre-wrap"/>
      </w:pPr>
      <w:r>
        <w:rPr>
          <w:rStyle w:val="Fett"/>
        </w:rPr>
        <w:t>Chronologische Präzision:</w:t>
      </w:r>
      <w:r>
        <w:t xml:space="preserve"> Die Kreuzigung lässt sich auf den 25. März 33 n.Chr. datieren, gestützt durch:</w:t>
      </w:r>
    </w:p>
    <w:p w14:paraId="2CE1B390" w14:textId="77777777" w:rsidR="00C304F2" w:rsidRDefault="00C304F2" w:rsidP="00714222">
      <w:pPr>
        <w:numPr>
          <w:ilvl w:val="0"/>
          <w:numId w:val="333"/>
        </w:numPr>
        <w:spacing w:before="100" w:beforeAutospacing="1" w:after="100" w:afterAutospacing="1"/>
      </w:pPr>
      <w:r>
        <w:lastRenderedPageBreak/>
        <w:t>Astronomische Berechnungen (Sonnenfinsternis und Mondphase)</w:t>
      </w:r>
    </w:p>
    <w:p w14:paraId="5795CC83" w14:textId="77777777" w:rsidR="00C304F2" w:rsidRDefault="00C304F2" w:rsidP="00714222">
      <w:pPr>
        <w:numPr>
          <w:ilvl w:val="0"/>
          <w:numId w:val="333"/>
        </w:numPr>
        <w:spacing w:before="100" w:beforeAutospacing="1" w:after="100" w:afterAutospacing="1"/>
      </w:pPr>
      <w:r>
        <w:t>Die Daniel-Prophezeiung der 70 Jahrwochen</w:t>
      </w:r>
    </w:p>
    <w:p w14:paraId="002058F3" w14:textId="77777777" w:rsidR="00C304F2" w:rsidRDefault="00C304F2" w:rsidP="00714222">
      <w:pPr>
        <w:numPr>
          <w:ilvl w:val="0"/>
          <w:numId w:val="333"/>
        </w:numPr>
        <w:spacing w:before="100" w:beforeAutospacing="1" w:after="100" w:afterAutospacing="1"/>
      </w:pPr>
      <w:r>
        <w:t>Römische Verwaltungsdokumente</w:t>
      </w:r>
    </w:p>
    <w:p w14:paraId="5312EFFF" w14:textId="77777777" w:rsidR="00C304F2" w:rsidRDefault="00C304F2" w:rsidP="00714222">
      <w:pPr>
        <w:numPr>
          <w:ilvl w:val="0"/>
          <w:numId w:val="333"/>
        </w:numPr>
        <w:spacing w:before="100" w:beforeAutospacing="1" w:after="100" w:afterAutospacing="1"/>
      </w:pPr>
      <w:r>
        <w:t>Übereinstimmende historische Quellen</w:t>
      </w:r>
    </w:p>
    <w:p w14:paraId="1373AD6D" w14:textId="77777777" w:rsidR="00C304F2" w:rsidRDefault="00C304F2" w:rsidP="00C304F2">
      <w:pPr>
        <w:pStyle w:val="whitespace-pre-wrap"/>
      </w:pPr>
      <w:r>
        <w:rPr>
          <w:rStyle w:val="Fett"/>
        </w:rPr>
        <w:t>Medizinische Dimension:</w:t>
      </w:r>
      <w:r>
        <w:t xml:space="preserve"> Die physiologischen Prozesse während der Kreuzigung sind präzise rekonstruierbar:</w:t>
      </w:r>
    </w:p>
    <w:p w14:paraId="019FB58D" w14:textId="77777777" w:rsidR="00C304F2" w:rsidRDefault="00C304F2" w:rsidP="00714222">
      <w:pPr>
        <w:numPr>
          <w:ilvl w:val="0"/>
          <w:numId w:val="334"/>
        </w:numPr>
        <w:spacing w:before="100" w:beforeAutospacing="1" w:after="100" w:afterAutospacing="1"/>
      </w:pPr>
      <w:r>
        <w:t>Detaillierte Analyse der Geißelung (Blutverlust 500-700 ml)</w:t>
      </w:r>
    </w:p>
    <w:p w14:paraId="58D62405" w14:textId="77777777" w:rsidR="00C304F2" w:rsidRDefault="00C304F2" w:rsidP="00714222">
      <w:pPr>
        <w:numPr>
          <w:ilvl w:val="0"/>
          <w:numId w:val="334"/>
        </w:numPr>
        <w:spacing w:before="100" w:beforeAutospacing="1" w:after="100" w:afterAutospacing="1"/>
      </w:pPr>
      <w:r>
        <w:t>Biomechanische Belastungen am Kreuz</w:t>
      </w:r>
    </w:p>
    <w:p w14:paraId="0B9F60BF" w14:textId="77777777" w:rsidR="00C304F2" w:rsidRDefault="00C304F2" w:rsidP="00714222">
      <w:pPr>
        <w:numPr>
          <w:ilvl w:val="0"/>
          <w:numId w:val="334"/>
        </w:numPr>
        <w:spacing w:before="100" w:beforeAutospacing="1" w:after="100" w:afterAutospacing="1"/>
      </w:pPr>
      <w:r>
        <w:t>Progressive Verschlechterung der Atmung</w:t>
      </w:r>
    </w:p>
    <w:p w14:paraId="4FC1BB6E" w14:textId="77777777" w:rsidR="00C304F2" w:rsidRDefault="00C304F2" w:rsidP="00714222">
      <w:pPr>
        <w:numPr>
          <w:ilvl w:val="0"/>
          <w:numId w:val="334"/>
        </w:numPr>
        <w:spacing w:before="100" w:beforeAutospacing="1" w:after="100" w:afterAutospacing="1"/>
      </w:pPr>
      <w:r>
        <w:t>Todesursache durch kombiniertes Organ- und Kreislaufversagen</w:t>
      </w:r>
    </w:p>
    <w:p w14:paraId="09B95F09" w14:textId="77777777" w:rsidR="00C304F2" w:rsidRDefault="00C304F2" w:rsidP="00C304F2">
      <w:pPr>
        <w:pStyle w:val="whitespace-pre-wrap"/>
      </w:pPr>
      <w:r>
        <w:rPr>
          <w:rStyle w:val="Fett"/>
        </w:rPr>
        <w:t>Physikalische Phänomene:</w:t>
      </w:r>
      <w:r>
        <w:t xml:space="preserve"> Die begleitenden Ereignisse zeigen außergewöhnliche physikalische Parameter:</w:t>
      </w:r>
    </w:p>
    <w:p w14:paraId="455F3C69" w14:textId="77777777" w:rsidR="00C304F2" w:rsidRDefault="00C304F2" w:rsidP="00714222">
      <w:pPr>
        <w:numPr>
          <w:ilvl w:val="0"/>
          <w:numId w:val="335"/>
        </w:numPr>
        <w:spacing w:before="100" w:beforeAutospacing="1" w:after="100" w:afterAutospacing="1"/>
      </w:pPr>
      <w:r>
        <w:t>Dreistündige Finsternis (astronomisch nicht erklärbar)</w:t>
      </w:r>
    </w:p>
    <w:p w14:paraId="26A8EB7F" w14:textId="77777777" w:rsidR="00C304F2" w:rsidRDefault="00C304F2" w:rsidP="00714222">
      <w:pPr>
        <w:numPr>
          <w:ilvl w:val="0"/>
          <w:numId w:val="335"/>
        </w:numPr>
        <w:spacing w:before="100" w:beforeAutospacing="1" w:after="100" w:afterAutospacing="1"/>
      </w:pPr>
      <w:r>
        <w:t>Erdbeben der Stärke 5-6 auf der Richterskala</w:t>
      </w:r>
    </w:p>
    <w:p w14:paraId="75935566" w14:textId="77777777" w:rsidR="00C304F2" w:rsidRDefault="00C304F2" w:rsidP="00714222">
      <w:pPr>
        <w:numPr>
          <w:ilvl w:val="0"/>
          <w:numId w:val="335"/>
        </w:numPr>
        <w:spacing w:before="100" w:beforeAutospacing="1" w:after="100" w:afterAutospacing="1"/>
      </w:pPr>
      <w:r>
        <w:t>Zerreißen des Tempelvorhangs (8.400-10.500 kg)</w:t>
      </w:r>
    </w:p>
    <w:p w14:paraId="5A22E009" w14:textId="77777777" w:rsidR="00C304F2" w:rsidRDefault="00C304F2" w:rsidP="00714222">
      <w:pPr>
        <w:numPr>
          <w:ilvl w:val="0"/>
          <w:numId w:val="335"/>
        </w:numPr>
        <w:spacing w:before="100" w:beforeAutospacing="1" w:after="100" w:afterAutospacing="1"/>
      </w:pPr>
      <w:r>
        <w:t>Schallausbreitung des Todesschreis über 600m zur Burg Antonia</w:t>
      </w:r>
    </w:p>
    <w:p w14:paraId="4A268ECC" w14:textId="77777777" w:rsidR="00C304F2" w:rsidRDefault="00C304F2" w:rsidP="00C304F2">
      <w:pPr>
        <w:pStyle w:val="whitespace-pre-wrap"/>
      </w:pPr>
      <w:r>
        <w:rPr>
          <w:rStyle w:val="Fett"/>
        </w:rPr>
        <w:t>Archäologische Evidenz:</w:t>
      </w:r>
      <w:r>
        <w:t xml:space="preserve"> Materielle Belege unterstützen die historischen Berichte:</w:t>
      </w:r>
    </w:p>
    <w:p w14:paraId="199E08FD" w14:textId="77777777" w:rsidR="00C304F2" w:rsidRDefault="00C304F2" w:rsidP="00714222">
      <w:pPr>
        <w:numPr>
          <w:ilvl w:val="0"/>
          <w:numId w:val="336"/>
        </w:numPr>
        <w:spacing w:before="100" w:beforeAutospacing="1" w:after="100" w:afterAutospacing="1"/>
      </w:pPr>
      <w:r>
        <w:t>Kreuzigungsnagel von Giv'at ha-Mivtar</w:t>
      </w:r>
    </w:p>
    <w:p w14:paraId="2AA4560B" w14:textId="77777777" w:rsidR="00C304F2" w:rsidRDefault="00C304F2" w:rsidP="00714222">
      <w:pPr>
        <w:numPr>
          <w:ilvl w:val="0"/>
          <w:numId w:val="336"/>
        </w:numPr>
        <w:spacing w:before="100" w:beforeAutospacing="1" w:after="100" w:afterAutospacing="1"/>
      </w:pPr>
      <w:r>
        <w:t>Architektur der Burg Antonia</w:t>
      </w:r>
    </w:p>
    <w:p w14:paraId="1F5392E4" w14:textId="77777777" w:rsidR="00C304F2" w:rsidRDefault="00C304F2" w:rsidP="00714222">
      <w:pPr>
        <w:numPr>
          <w:ilvl w:val="0"/>
          <w:numId w:val="336"/>
        </w:numPr>
        <w:spacing w:before="100" w:beforeAutospacing="1" w:after="100" w:afterAutospacing="1"/>
      </w:pPr>
      <w:r>
        <w:t>Topographie von Golgatha</w:t>
      </w:r>
    </w:p>
    <w:p w14:paraId="7A476972" w14:textId="77777777" w:rsidR="00C304F2" w:rsidRDefault="00C304F2" w:rsidP="00714222">
      <w:pPr>
        <w:numPr>
          <w:ilvl w:val="0"/>
          <w:numId w:val="336"/>
        </w:numPr>
        <w:spacing w:before="100" w:beforeAutospacing="1" w:after="100" w:afterAutospacing="1"/>
      </w:pPr>
      <w:r>
        <w:t>Römische Straßen und Stadtmauern</w:t>
      </w:r>
    </w:p>
    <w:p w14:paraId="1A94D489" w14:textId="77777777" w:rsidR="00C304F2" w:rsidRDefault="00C304F2" w:rsidP="00C304F2">
      <w:pPr>
        <w:pStyle w:val="whitespace-pre-wrap"/>
      </w:pPr>
      <w:r>
        <w:rPr>
          <w:rStyle w:val="Fett"/>
        </w:rPr>
        <w:t>Historische Dokumentation:</w:t>
      </w:r>
      <w:r>
        <w:t xml:space="preserve"> Multiple unabhängige Quellen bestätigen das Ereignis:</w:t>
      </w:r>
    </w:p>
    <w:p w14:paraId="7DD23752" w14:textId="77777777" w:rsidR="00C304F2" w:rsidRDefault="00C304F2" w:rsidP="00714222">
      <w:pPr>
        <w:numPr>
          <w:ilvl w:val="0"/>
          <w:numId w:val="337"/>
        </w:numPr>
        <w:spacing w:before="100" w:beforeAutospacing="1" w:after="100" w:afterAutospacing="1"/>
      </w:pPr>
      <w:r>
        <w:lastRenderedPageBreak/>
        <w:t>Römische Historiker (Tacitus, Sueton)</w:t>
      </w:r>
    </w:p>
    <w:p w14:paraId="51B49A9D" w14:textId="77777777" w:rsidR="00C304F2" w:rsidRDefault="00C304F2" w:rsidP="00714222">
      <w:pPr>
        <w:numPr>
          <w:ilvl w:val="0"/>
          <w:numId w:val="337"/>
        </w:numPr>
        <w:spacing w:before="100" w:beforeAutospacing="1" w:after="100" w:afterAutospacing="1"/>
      </w:pPr>
      <w:r>
        <w:t>Jüdische Quellen (Josephus, Talmud)</w:t>
      </w:r>
    </w:p>
    <w:p w14:paraId="113408DF" w14:textId="77777777" w:rsidR="00C304F2" w:rsidRDefault="00C304F2" w:rsidP="00714222">
      <w:pPr>
        <w:numPr>
          <w:ilvl w:val="0"/>
          <w:numId w:val="337"/>
        </w:numPr>
        <w:spacing w:before="100" w:beforeAutospacing="1" w:after="100" w:afterAutospacing="1"/>
      </w:pPr>
      <w:r>
        <w:t>Frühchristliche Berichte</w:t>
      </w:r>
    </w:p>
    <w:p w14:paraId="75ED79EB" w14:textId="77777777" w:rsidR="00C304F2" w:rsidRDefault="00C304F2" w:rsidP="00714222">
      <w:pPr>
        <w:numPr>
          <w:ilvl w:val="0"/>
          <w:numId w:val="337"/>
        </w:numPr>
        <w:spacing w:before="100" w:beforeAutospacing="1" w:after="100" w:afterAutospacing="1"/>
      </w:pPr>
      <w:r>
        <w:t>Administrative Dokumente</w:t>
      </w:r>
    </w:p>
    <w:p w14:paraId="4A96B5A4" w14:textId="77777777" w:rsidR="00C304F2" w:rsidRDefault="00C304F2" w:rsidP="00C304F2">
      <w:pPr>
        <w:pStyle w:val="whitespace-pre-wrap"/>
      </w:pPr>
      <w:r>
        <w:rPr>
          <w:rStyle w:val="Fett"/>
        </w:rPr>
        <w:t>Prophetische Dimension:</w:t>
      </w:r>
      <w:r>
        <w:t xml:space="preserve"> Alttestamentliche Prophezeiungen finden präzise Erfüllung:</w:t>
      </w:r>
    </w:p>
    <w:p w14:paraId="50119BEF" w14:textId="77777777" w:rsidR="00C304F2" w:rsidRDefault="00C304F2" w:rsidP="00714222">
      <w:pPr>
        <w:numPr>
          <w:ilvl w:val="0"/>
          <w:numId w:val="338"/>
        </w:numPr>
        <w:spacing w:before="100" w:beforeAutospacing="1" w:after="100" w:afterAutospacing="1"/>
      </w:pPr>
      <w:r>
        <w:t>Psalm 22 (körperliche Details)</w:t>
      </w:r>
    </w:p>
    <w:p w14:paraId="24585380" w14:textId="77777777" w:rsidR="00C304F2" w:rsidRDefault="00C304F2" w:rsidP="00714222">
      <w:pPr>
        <w:numPr>
          <w:ilvl w:val="0"/>
          <w:numId w:val="338"/>
        </w:numPr>
        <w:spacing w:before="100" w:beforeAutospacing="1" w:after="100" w:afterAutospacing="1"/>
      </w:pPr>
      <w:r>
        <w:t>Jesaja 53 (theologische Bedeutung)</w:t>
      </w:r>
    </w:p>
    <w:p w14:paraId="444074AB" w14:textId="77777777" w:rsidR="00C304F2" w:rsidRDefault="00C304F2" w:rsidP="00714222">
      <w:pPr>
        <w:numPr>
          <w:ilvl w:val="0"/>
          <w:numId w:val="338"/>
        </w:numPr>
        <w:spacing w:before="100" w:beforeAutospacing="1" w:after="100" w:afterAutospacing="1"/>
      </w:pPr>
      <w:r>
        <w:t>Sacharja-Prophezeiungen</w:t>
      </w:r>
    </w:p>
    <w:p w14:paraId="3866BF7D" w14:textId="77777777" w:rsidR="00C304F2" w:rsidRDefault="00C304F2" w:rsidP="00714222">
      <w:pPr>
        <w:numPr>
          <w:ilvl w:val="0"/>
          <w:numId w:val="338"/>
        </w:numPr>
        <w:spacing w:before="100" w:beforeAutospacing="1" w:after="100" w:afterAutospacing="1"/>
      </w:pPr>
      <w:r>
        <w:t>Daniel-Chronologie</w:t>
      </w:r>
    </w:p>
    <w:p w14:paraId="2194CB4F" w14:textId="77777777" w:rsidR="00C304F2" w:rsidRDefault="00C304F2" w:rsidP="00C304F2">
      <w:pPr>
        <w:pStyle w:val="whitespace-pre-wrap"/>
      </w:pPr>
      <w:r>
        <w:t>Die Analyse zeigt, dass die Kreuzigung Jesu ein historisch gut dokumentiertes Ereignis ist, dessen Details durch verschiedene wissenschaftliche Disziplinen bestätigt werden. Die Konvergenz von prophetischer Voraussage, historischer Dokumentation, medizinischer Plausibilität und archäologischer Evidenz unterstreicht die Historizität des Geschehens.</w:t>
      </w:r>
    </w:p>
    <w:p w14:paraId="44090A8F" w14:textId="77777777" w:rsidR="00C304F2" w:rsidRDefault="00C304F2" w:rsidP="00C304F2">
      <w:pPr>
        <w:pStyle w:val="whitespace-pre-wrap"/>
      </w:pPr>
      <w:r>
        <w:t>Besonders bemerkenswert ist die Präzision der prophetischen Voraussagen, deren zufällige Erfüllung statistisch praktisch ausgeschlossen ist (Wahrscheinlichkeit 1:10²⁰). Die medizinischen Details der Evangelienberichte entsprechen exakt dem heutigen Wissen über Kreuzigungen, obwohl dieses Wissen zur Zeit der Niederschrift nicht verfügbar war.</w:t>
      </w:r>
    </w:p>
    <w:p w14:paraId="09A28E90" w14:textId="77777777" w:rsidR="00C304F2" w:rsidRDefault="00C304F2" w:rsidP="00C304F2">
      <w:pPr>
        <w:pStyle w:val="whitespace-pre-wrap"/>
      </w:pPr>
      <w:r>
        <w:t>Die physikalischen Begleitphänomene (Finsternis, Erdbeben) sind durch multiple unabhängige Quellen belegt und übersteigen in ihrer Magnitude normale Naturereignisse. Die archäologischen Befunde bestätigen die topographischen und architektonischen Details der biblischen Berichte.</w:t>
      </w:r>
    </w:p>
    <w:p w14:paraId="14E340D5" w14:textId="77777777" w:rsidR="00C304F2" w:rsidRDefault="00C304F2" w:rsidP="00C304F2">
      <w:pPr>
        <w:pStyle w:val="whitespace-pre-wrap"/>
      </w:pPr>
      <w:r>
        <w:lastRenderedPageBreak/>
        <w:t>Diese multidisziplinäre Analyse liefert ein wissenschaftlich fundiertes Bild der Kreuzigung Jesu als historisches Ereignis von außergewöhnlicher Bedeutung.</w:t>
      </w:r>
    </w:p>
    <w:p w14:paraId="40B8819C" w14:textId="42719EA4" w:rsidR="00141719" w:rsidRDefault="39B6E210" w:rsidP="00141719">
      <w:pPr>
        <w:pStyle w:val="whitespace-pre-wrap"/>
      </w:pPr>
      <w:r>
        <w:t>Der Sühnetod Christi am Kreuz beweist die angekündigte Intervention Gottes für uns Menschen. Röm 3,25 offenbart die tiefere Dimension: Christus wird von Gott als Sühne präsentiert, die unsere Schuld kompensiert. Die zahlreichen Details dieser Arbeit zeigen, was Jesus Christus für die Menschen getan hat. Jeder Lesser dieses Buches ist daher eingeladen, dieses Opfer für seine Sünden im Glauben und Gebet in Anspruch zu nehmen. Für Christen soll es eine Ermutigung sein, für den Herrn Jesus zu leben.</w:t>
      </w:r>
    </w:p>
    <w:p w14:paraId="53128261" w14:textId="77777777" w:rsidR="00AC1BED" w:rsidRDefault="00AC1BED">
      <w:pPr>
        <w:rPr>
          <w:rFonts w:ascii="Times New Roman" w:eastAsia="Times New Roman" w:hAnsi="Times New Roman"/>
          <w:b/>
          <w:bCs/>
          <w:sz w:val="36"/>
          <w:szCs w:val="36"/>
          <w:lang w:eastAsia="de-DE"/>
        </w:rPr>
      </w:pPr>
      <w:r>
        <w:br w:type="page"/>
      </w:r>
    </w:p>
    <w:p w14:paraId="6B79622B" w14:textId="77777777" w:rsidR="00141719" w:rsidRDefault="39B6E210" w:rsidP="39B6E210">
      <w:pPr>
        <w:pStyle w:val="berschrift1"/>
      </w:pPr>
      <w:r>
        <w:lastRenderedPageBreak/>
        <w:t>Literaturverzeichnis</w:t>
      </w:r>
    </w:p>
    <w:p w14:paraId="5AAF6E1B" w14:textId="77777777" w:rsidR="00F162EC" w:rsidRPr="00F162EC" w:rsidRDefault="00F162EC" w:rsidP="00F162EC">
      <w:pPr>
        <w:spacing w:before="100" w:beforeAutospacing="1" w:after="100" w:afterAutospacing="1"/>
        <w:rPr>
          <w:rFonts w:ascii="Times New Roman" w:eastAsia="Times New Roman" w:hAnsi="Times New Roman"/>
          <w:lang w:eastAsia="de-DE"/>
        </w:rPr>
      </w:pPr>
      <w:r w:rsidRPr="00F162EC">
        <w:rPr>
          <w:rFonts w:ascii="Times New Roman" w:eastAsia="Times New Roman" w:hAnsi="Symbol"/>
          <w:lang w:eastAsia="de-DE"/>
        </w:rPr>
        <w:t></w:t>
      </w:r>
      <w:r w:rsidRPr="00F162EC">
        <w:rPr>
          <w:rFonts w:ascii="Times New Roman" w:eastAsia="Times New Roman" w:hAnsi="Times New Roman"/>
          <w:lang w:eastAsia="de-DE"/>
        </w:rPr>
        <w:t xml:space="preserve">  Aardsma, Gerald E. </w:t>
      </w:r>
      <w:r w:rsidRPr="00F162EC">
        <w:rPr>
          <w:rFonts w:ascii="Times New Roman" w:eastAsia="Times New Roman" w:hAnsi="Times New Roman"/>
          <w:i/>
          <w:iCs/>
          <w:lang w:eastAsia="de-DE"/>
        </w:rPr>
        <w:t>A New Approach to the Chronology of Biblical History from Abraham to Samuel</w:t>
      </w:r>
      <w:r w:rsidRPr="00F162EC">
        <w:rPr>
          <w:rFonts w:ascii="Times New Roman" w:eastAsia="Times New Roman" w:hAnsi="Times New Roman"/>
          <w:lang w:eastAsia="de-DE"/>
        </w:rPr>
        <w:t>. Aardsma Research &amp; Publishing, 1993.</w:t>
      </w:r>
    </w:p>
    <w:p w14:paraId="087E803B" w14:textId="08E98F91"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Anderson, Robert. </w:t>
      </w:r>
      <w:r w:rsidRPr="39B6E210">
        <w:rPr>
          <w:rFonts w:ascii="Times New Roman" w:eastAsia="Times New Roman" w:hAnsi="Times New Roman"/>
          <w:i/>
          <w:iCs/>
          <w:lang w:eastAsia="de-DE"/>
        </w:rPr>
        <w:t>The Coming Prince</w:t>
      </w:r>
      <w:r w:rsidRPr="39B6E210">
        <w:rPr>
          <w:rFonts w:ascii="Times New Roman" w:eastAsia="Times New Roman" w:hAnsi="Times New Roman"/>
          <w:lang w:eastAsia="de-DE"/>
        </w:rPr>
        <w:t>. Kregel Publications, Reprint 1984.</w:t>
      </w:r>
    </w:p>
    <w:p w14:paraId="638B0D01" w14:textId="77777777" w:rsidR="00F162EC" w:rsidRPr="00F162EC" w:rsidRDefault="00F162EC" w:rsidP="00F162EC">
      <w:pPr>
        <w:spacing w:before="100" w:beforeAutospacing="1" w:after="100" w:afterAutospacing="1"/>
        <w:rPr>
          <w:rFonts w:ascii="Times New Roman" w:eastAsia="Times New Roman" w:hAnsi="Times New Roman"/>
          <w:lang w:eastAsia="de-DE"/>
        </w:rPr>
      </w:pPr>
      <w:r w:rsidRPr="00F162EC">
        <w:rPr>
          <w:rFonts w:ascii="Times New Roman" w:eastAsia="Times New Roman" w:hAnsi="Symbol"/>
          <w:lang w:eastAsia="de-DE"/>
        </w:rPr>
        <w:t></w:t>
      </w:r>
      <w:r w:rsidRPr="00F162EC">
        <w:rPr>
          <w:rFonts w:ascii="Times New Roman" w:eastAsia="Times New Roman" w:hAnsi="Times New Roman"/>
          <w:lang w:eastAsia="de-DE"/>
        </w:rPr>
        <w:t xml:space="preserve">  Finegan, Jack. </w:t>
      </w:r>
      <w:r w:rsidRPr="00F162EC">
        <w:rPr>
          <w:rFonts w:ascii="Times New Roman" w:eastAsia="Times New Roman" w:hAnsi="Times New Roman"/>
          <w:i/>
          <w:iCs/>
          <w:lang w:eastAsia="de-DE"/>
        </w:rPr>
        <w:t>Handbook of Biblical Chronology</w:t>
      </w:r>
      <w:r w:rsidRPr="00F162EC">
        <w:rPr>
          <w:rFonts w:ascii="Times New Roman" w:eastAsia="Times New Roman" w:hAnsi="Times New Roman"/>
          <w:lang w:eastAsia="de-DE"/>
        </w:rPr>
        <w:t>. Hendrickson Publishers, Revised Edition, 1998.</w:t>
      </w:r>
    </w:p>
    <w:p w14:paraId="287362A8" w14:textId="77777777" w:rsidR="00F162EC" w:rsidRPr="00F162EC" w:rsidRDefault="00F162EC" w:rsidP="00F162EC">
      <w:pPr>
        <w:spacing w:before="100" w:beforeAutospacing="1" w:after="100" w:afterAutospacing="1"/>
        <w:rPr>
          <w:rFonts w:ascii="Times New Roman" w:eastAsia="Times New Roman" w:hAnsi="Times New Roman"/>
          <w:lang w:eastAsia="de-DE"/>
        </w:rPr>
      </w:pPr>
      <w:r w:rsidRPr="00F162EC">
        <w:rPr>
          <w:rFonts w:ascii="Times New Roman" w:eastAsia="Times New Roman" w:hAnsi="Symbol"/>
          <w:lang w:eastAsia="de-DE"/>
        </w:rPr>
        <w:t></w:t>
      </w:r>
      <w:r w:rsidRPr="00F162EC">
        <w:rPr>
          <w:rFonts w:ascii="Times New Roman" w:eastAsia="Times New Roman" w:hAnsi="Times New Roman"/>
          <w:lang w:eastAsia="de-DE"/>
        </w:rPr>
        <w:t xml:space="preserve">  Fotheringham, J.K. "The Evidence of Astronomy and Technical Chronology for the Date of the Crucifixion." </w:t>
      </w:r>
      <w:r w:rsidRPr="00F162EC">
        <w:rPr>
          <w:rFonts w:ascii="Times New Roman" w:eastAsia="Times New Roman" w:hAnsi="Times New Roman"/>
          <w:i/>
          <w:iCs/>
          <w:lang w:eastAsia="de-DE"/>
        </w:rPr>
        <w:t>Journal of Theological Studies</w:t>
      </w:r>
      <w:r w:rsidRPr="00F162EC">
        <w:rPr>
          <w:rFonts w:ascii="Times New Roman" w:eastAsia="Times New Roman" w:hAnsi="Times New Roman"/>
          <w:lang w:eastAsia="de-DE"/>
        </w:rPr>
        <w:t xml:space="preserve"> 35 (1934): 146-162.</w:t>
      </w:r>
    </w:p>
    <w:p w14:paraId="65AF93B4" w14:textId="77777777" w:rsidR="00F162EC" w:rsidRPr="00F162EC" w:rsidRDefault="00F162EC" w:rsidP="00F162EC">
      <w:pPr>
        <w:spacing w:before="100" w:beforeAutospacing="1" w:after="100" w:afterAutospacing="1"/>
        <w:rPr>
          <w:rFonts w:ascii="Times New Roman" w:eastAsia="Times New Roman" w:hAnsi="Times New Roman"/>
          <w:lang w:eastAsia="de-DE"/>
        </w:rPr>
      </w:pPr>
      <w:r w:rsidRPr="00F162EC">
        <w:rPr>
          <w:rFonts w:ascii="Times New Roman" w:eastAsia="Times New Roman" w:hAnsi="Symbol"/>
          <w:lang w:eastAsia="de-DE"/>
        </w:rPr>
        <w:t></w:t>
      </w:r>
      <w:r w:rsidRPr="00F162EC">
        <w:rPr>
          <w:rFonts w:ascii="Times New Roman" w:eastAsia="Times New Roman" w:hAnsi="Times New Roman"/>
          <w:lang w:eastAsia="de-DE"/>
        </w:rPr>
        <w:t xml:space="preserve">  Gertoux, Gerard. </w:t>
      </w:r>
      <w:r w:rsidRPr="00F162EC">
        <w:rPr>
          <w:rFonts w:ascii="Times New Roman" w:eastAsia="Times New Roman" w:hAnsi="Times New Roman"/>
          <w:i/>
          <w:iCs/>
          <w:lang w:eastAsia="de-DE"/>
        </w:rPr>
        <w:t>The Name of God Y.eH.oW.aH Which is Pronounced as it is Written I_Eh_oU_Ah: Its Story</w:t>
      </w:r>
      <w:r w:rsidRPr="00F162EC">
        <w:rPr>
          <w:rFonts w:ascii="Times New Roman" w:eastAsia="Times New Roman" w:hAnsi="Times New Roman"/>
          <w:lang w:eastAsia="de-DE"/>
        </w:rPr>
        <w:t>. University Press of America, 2002.</w:t>
      </w:r>
    </w:p>
    <w:p w14:paraId="1C28D48C" w14:textId="77777777" w:rsidR="00F162EC" w:rsidRPr="00F162EC" w:rsidRDefault="00F162EC" w:rsidP="00F162EC">
      <w:pPr>
        <w:spacing w:before="100" w:beforeAutospacing="1" w:after="100" w:afterAutospacing="1"/>
        <w:rPr>
          <w:rFonts w:ascii="Times New Roman" w:eastAsia="Times New Roman" w:hAnsi="Times New Roman"/>
          <w:lang w:eastAsia="de-DE"/>
        </w:rPr>
      </w:pPr>
      <w:r w:rsidRPr="00F162EC">
        <w:rPr>
          <w:rFonts w:ascii="Times New Roman" w:eastAsia="Times New Roman" w:hAnsi="Symbol"/>
          <w:lang w:eastAsia="de-DE"/>
        </w:rPr>
        <w:t></w:t>
      </w:r>
      <w:r w:rsidRPr="00F162EC">
        <w:rPr>
          <w:rFonts w:ascii="Times New Roman" w:eastAsia="Times New Roman" w:hAnsi="Times New Roman"/>
          <w:lang w:eastAsia="de-DE"/>
        </w:rPr>
        <w:t xml:space="preserve">  Hoehner, Harold W. </w:t>
      </w:r>
      <w:r w:rsidRPr="00F162EC">
        <w:rPr>
          <w:rFonts w:ascii="Times New Roman" w:eastAsia="Times New Roman" w:hAnsi="Times New Roman"/>
          <w:i/>
          <w:iCs/>
          <w:lang w:eastAsia="de-DE"/>
        </w:rPr>
        <w:t>Chronological Aspects of the Life of Christ</w:t>
      </w:r>
      <w:r w:rsidRPr="00F162EC">
        <w:rPr>
          <w:rFonts w:ascii="Times New Roman" w:eastAsia="Times New Roman" w:hAnsi="Times New Roman"/>
          <w:lang w:eastAsia="de-DE"/>
        </w:rPr>
        <w:t>. Zondervan, 1977.</w:t>
      </w:r>
    </w:p>
    <w:p w14:paraId="522EE445" w14:textId="0B5D2F5D"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Humphreys, Colin J. &amp; W.G. Waddington. "Dating the Crucifixion." </w:t>
      </w:r>
      <w:r w:rsidRPr="39B6E210">
        <w:rPr>
          <w:rFonts w:ascii="Times New Roman" w:eastAsia="Times New Roman" w:hAnsi="Times New Roman"/>
          <w:i/>
          <w:iCs/>
          <w:lang w:eastAsia="de-DE"/>
        </w:rPr>
        <w:t>Nature</w:t>
      </w:r>
      <w:r w:rsidRPr="39B6E210">
        <w:rPr>
          <w:rFonts w:ascii="Times New Roman" w:eastAsia="Times New Roman" w:hAnsi="Times New Roman"/>
          <w:lang w:eastAsia="de-DE"/>
        </w:rPr>
        <w:t xml:space="preserve"> 306.5945 (1983): 743-746.</w:t>
      </w:r>
    </w:p>
    <w:p w14:paraId="74EB315C" w14:textId="0517221D"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Jones, Floyd Nolen. </w:t>
      </w:r>
      <w:r w:rsidRPr="39B6E210">
        <w:rPr>
          <w:rFonts w:ascii="Times New Roman" w:eastAsia="Times New Roman" w:hAnsi="Times New Roman"/>
          <w:i/>
          <w:iCs/>
          <w:lang w:eastAsia="de-DE"/>
        </w:rPr>
        <w:t>The Chronology of the Old Testament</w:t>
      </w:r>
      <w:r w:rsidRPr="39B6E210">
        <w:rPr>
          <w:rFonts w:ascii="Times New Roman" w:eastAsia="Times New Roman" w:hAnsi="Times New Roman"/>
          <w:lang w:eastAsia="de-DE"/>
        </w:rPr>
        <w:t>. Master Books, 16th Edition, 2009.</w:t>
      </w:r>
    </w:p>
    <w:p w14:paraId="4D130DD4" w14:textId="10F9B81B"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Kitchen, Kenneth A. </w:t>
      </w:r>
      <w:r w:rsidRPr="39B6E210">
        <w:rPr>
          <w:rFonts w:ascii="Times New Roman" w:eastAsia="Times New Roman" w:hAnsi="Times New Roman"/>
          <w:i/>
          <w:iCs/>
          <w:lang w:eastAsia="de-DE"/>
        </w:rPr>
        <w:t>On the Reliability of the Old Testament</w:t>
      </w:r>
      <w:r w:rsidRPr="39B6E210">
        <w:rPr>
          <w:rFonts w:ascii="Times New Roman" w:eastAsia="Times New Roman" w:hAnsi="Times New Roman"/>
          <w:lang w:eastAsia="de-DE"/>
        </w:rPr>
        <w:t>. Eerdmans, 2006.</w:t>
      </w:r>
    </w:p>
    <w:p w14:paraId="6D8E24BD" w14:textId="2419234C"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Liebi, Roger. </w:t>
      </w:r>
      <w:r w:rsidRPr="39B6E210">
        <w:rPr>
          <w:rFonts w:ascii="Times New Roman" w:eastAsia="Times New Roman" w:hAnsi="Times New Roman"/>
          <w:i/>
          <w:iCs/>
          <w:lang w:eastAsia="de-DE"/>
        </w:rPr>
        <w:t>Chronologie der Könige Israels und Judas</w:t>
      </w:r>
      <w:r w:rsidRPr="39B6E210">
        <w:rPr>
          <w:rFonts w:ascii="Times New Roman" w:eastAsia="Times New Roman" w:hAnsi="Times New Roman"/>
          <w:lang w:eastAsia="de-DE"/>
        </w:rPr>
        <w:t>. Christliche Literatur-Verbreitung, 2016.</w:t>
      </w:r>
    </w:p>
    <w:p w14:paraId="6D7718DD" w14:textId="77777777" w:rsidR="00F162EC" w:rsidRPr="00F162EC" w:rsidRDefault="00F162EC" w:rsidP="00F162EC">
      <w:pPr>
        <w:spacing w:before="100" w:beforeAutospacing="1" w:after="100" w:afterAutospacing="1"/>
        <w:rPr>
          <w:rFonts w:ascii="Times New Roman" w:eastAsia="Times New Roman" w:hAnsi="Times New Roman"/>
          <w:lang w:eastAsia="de-DE"/>
        </w:rPr>
      </w:pPr>
      <w:r w:rsidRPr="00F162EC">
        <w:rPr>
          <w:rFonts w:ascii="Times New Roman" w:eastAsia="Times New Roman" w:hAnsi="Symbol"/>
          <w:lang w:eastAsia="de-DE"/>
        </w:rPr>
        <w:lastRenderedPageBreak/>
        <w:t></w:t>
      </w:r>
      <w:r w:rsidRPr="00F162EC">
        <w:rPr>
          <w:rFonts w:ascii="Times New Roman" w:eastAsia="Times New Roman" w:hAnsi="Times New Roman"/>
          <w:lang w:eastAsia="de-DE"/>
        </w:rPr>
        <w:t xml:space="preserve">  McClain, Alva J. </w:t>
      </w:r>
      <w:r w:rsidRPr="00F162EC">
        <w:rPr>
          <w:rFonts w:ascii="Times New Roman" w:eastAsia="Times New Roman" w:hAnsi="Times New Roman"/>
          <w:i/>
          <w:iCs/>
          <w:lang w:eastAsia="de-DE"/>
        </w:rPr>
        <w:t>Daniel's Prophecy of the 70 Weeks</w:t>
      </w:r>
      <w:r w:rsidRPr="00F162EC">
        <w:rPr>
          <w:rFonts w:ascii="Times New Roman" w:eastAsia="Times New Roman" w:hAnsi="Times New Roman"/>
          <w:lang w:eastAsia="de-DE"/>
        </w:rPr>
        <w:t>. BMH Books, 2007.</w:t>
      </w:r>
    </w:p>
    <w:p w14:paraId="215A03A5" w14:textId="48965869"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Parker, Richard A. &amp; Waldo H. Dubberstein. </w:t>
      </w:r>
      <w:r w:rsidRPr="39B6E210">
        <w:rPr>
          <w:rFonts w:ascii="Times New Roman" w:eastAsia="Times New Roman" w:hAnsi="Times New Roman"/>
          <w:i/>
          <w:iCs/>
          <w:lang w:eastAsia="de-DE"/>
        </w:rPr>
        <w:t>Babylonian Chronology 626 B.C. - A.D. 75</w:t>
      </w:r>
      <w:r w:rsidRPr="39B6E210">
        <w:rPr>
          <w:rFonts w:ascii="Times New Roman" w:eastAsia="Times New Roman" w:hAnsi="Times New Roman"/>
          <w:lang w:eastAsia="de-DE"/>
        </w:rPr>
        <w:t>. Brown University Press, 1956.</w:t>
      </w:r>
    </w:p>
    <w:p w14:paraId="49892ABE" w14:textId="36500E90"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Payne, J. Barton. </w:t>
      </w:r>
      <w:r w:rsidRPr="39B6E210">
        <w:rPr>
          <w:rFonts w:ascii="Times New Roman" w:eastAsia="Times New Roman" w:hAnsi="Times New Roman"/>
          <w:i/>
          <w:iCs/>
          <w:lang w:eastAsia="de-DE"/>
        </w:rPr>
        <w:t>Encyclopedia of Biblical Prophecy</w:t>
      </w:r>
      <w:r w:rsidRPr="39B6E210">
        <w:rPr>
          <w:rFonts w:ascii="Times New Roman" w:eastAsia="Times New Roman" w:hAnsi="Times New Roman"/>
          <w:lang w:eastAsia="de-DE"/>
        </w:rPr>
        <w:t>. Baker Books, 1996.</w:t>
      </w:r>
    </w:p>
    <w:p w14:paraId="30C0C5D1" w14:textId="5C81EF60"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Pierce, Larry. </w:t>
      </w:r>
      <w:r w:rsidRPr="39B6E210">
        <w:rPr>
          <w:rFonts w:ascii="Times New Roman" w:eastAsia="Times New Roman" w:hAnsi="Times New Roman"/>
          <w:i/>
          <w:iCs/>
          <w:lang w:eastAsia="de-DE"/>
        </w:rPr>
        <w:t>In the Days of Peleg</w:t>
      </w:r>
      <w:r w:rsidRPr="39B6E210">
        <w:rPr>
          <w:rFonts w:ascii="Times New Roman" w:eastAsia="Times New Roman" w:hAnsi="Times New Roman"/>
          <w:lang w:eastAsia="de-DE"/>
        </w:rPr>
        <w:t>. Master Books, 2013.</w:t>
      </w:r>
    </w:p>
    <w:p w14:paraId="3F1AAD8D" w14:textId="2E945D6D"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Schaefer, Bradley E. "Lunar Visibility and the Crucifixion." </w:t>
      </w:r>
      <w:r w:rsidRPr="39B6E210">
        <w:rPr>
          <w:rFonts w:ascii="Times New Roman" w:eastAsia="Times New Roman" w:hAnsi="Times New Roman"/>
          <w:i/>
          <w:iCs/>
          <w:lang w:eastAsia="de-DE"/>
        </w:rPr>
        <w:t>Quarterly Journal of the Royal Astronomical Society</w:t>
      </w:r>
      <w:r w:rsidRPr="39B6E210">
        <w:rPr>
          <w:rFonts w:ascii="Times New Roman" w:eastAsia="Times New Roman" w:hAnsi="Times New Roman"/>
          <w:lang w:eastAsia="de-DE"/>
        </w:rPr>
        <w:t xml:space="preserve"> 31 (1990): 53-67.</w:t>
      </w:r>
    </w:p>
    <w:p w14:paraId="6CADE420" w14:textId="5201D467"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Steinmann, Andrew E. </w:t>
      </w:r>
      <w:r w:rsidRPr="39B6E210">
        <w:rPr>
          <w:rFonts w:ascii="Times New Roman" w:eastAsia="Times New Roman" w:hAnsi="Times New Roman"/>
          <w:i/>
          <w:iCs/>
          <w:lang w:eastAsia="de-DE"/>
        </w:rPr>
        <w:t>From Abraham to Paul: A Biblical Chronology</w:t>
      </w:r>
      <w:r w:rsidRPr="39B6E210">
        <w:rPr>
          <w:rFonts w:ascii="Times New Roman" w:eastAsia="Times New Roman" w:hAnsi="Times New Roman"/>
          <w:lang w:eastAsia="de-DE"/>
        </w:rPr>
        <w:t>. Concordia Publishing House, 2011.</w:t>
      </w:r>
    </w:p>
    <w:p w14:paraId="32BB03BC" w14:textId="0B11C32B" w:rsidR="00F162EC" w:rsidRP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Thiele, Edwin R. </w:t>
      </w:r>
      <w:r w:rsidRPr="39B6E210">
        <w:rPr>
          <w:rFonts w:ascii="Times New Roman" w:eastAsia="Times New Roman" w:hAnsi="Times New Roman"/>
          <w:i/>
          <w:iCs/>
          <w:lang w:eastAsia="de-DE"/>
        </w:rPr>
        <w:t>The Mysterious Numbers of the Hebrew Kings</w:t>
      </w:r>
      <w:r w:rsidRPr="39B6E210">
        <w:rPr>
          <w:rFonts w:ascii="Times New Roman" w:eastAsia="Times New Roman" w:hAnsi="Times New Roman"/>
          <w:lang w:eastAsia="de-DE"/>
        </w:rPr>
        <w:t>. Kregel Academic, 1994.</w:t>
      </w:r>
    </w:p>
    <w:p w14:paraId="5D5056B2" w14:textId="77777777" w:rsidR="00F162EC" w:rsidRPr="00F162EC" w:rsidRDefault="00F162EC" w:rsidP="00F162EC">
      <w:pPr>
        <w:spacing w:before="100" w:beforeAutospacing="1" w:after="100" w:afterAutospacing="1"/>
        <w:rPr>
          <w:rFonts w:ascii="Times New Roman" w:eastAsia="Times New Roman" w:hAnsi="Times New Roman"/>
          <w:lang w:eastAsia="de-DE"/>
        </w:rPr>
      </w:pPr>
      <w:r w:rsidRPr="00F162EC">
        <w:rPr>
          <w:rFonts w:ascii="Times New Roman" w:eastAsia="Times New Roman" w:hAnsi="Symbol"/>
          <w:lang w:eastAsia="de-DE"/>
        </w:rPr>
        <w:t></w:t>
      </w:r>
      <w:r w:rsidRPr="00F162EC">
        <w:rPr>
          <w:rFonts w:ascii="Times New Roman" w:eastAsia="Times New Roman" w:hAnsi="Times New Roman"/>
          <w:lang w:eastAsia="de-DE"/>
        </w:rPr>
        <w:t xml:space="preserve">  Walvoord, John F. </w:t>
      </w:r>
      <w:r w:rsidRPr="00F162EC">
        <w:rPr>
          <w:rFonts w:ascii="Times New Roman" w:eastAsia="Times New Roman" w:hAnsi="Times New Roman"/>
          <w:i/>
          <w:iCs/>
          <w:lang w:eastAsia="de-DE"/>
        </w:rPr>
        <w:t>The Prophecy Knowledge Handbook</w:t>
      </w:r>
      <w:r w:rsidRPr="00F162EC">
        <w:rPr>
          <w:rFonts w:ascii="Times New Roman" w:eastAsia="Times New Roman" w:hAnsi="Times New Roman"/>
          <w:lang w:eastAsia="de-DE"/>
        </w:rPr>
        <w:t>. Victor Books, 1990.</w:t>
      </w:r>
    </w:p>
    <w:p w14:paraId="13C44329" w14:textId="77777777" w:rsidR="00F162EC" w:rsidRPr="00F162EC" w:rsidRDefault="00F162EC" w:rsidP="00F162EC">
      <w:pPr>
        <w:spacing w:before="100" w:beforeAutospacing="1" w:after="100" w:afterAutospacing="1"/>
        <w:rPr>
          <w:rFonts w:ascii="Times New Roman" w:eastAsia="Times New Roman" w:hAnsi="Times New Roman"/>
          <w:lang w:eastAsia="de-DE"/>
        </w:rPr>
      </w:pPr>
      <w:r w:rsidRPr="00F162EC">
        <w:rPr>
          <w:rFonts w:ascii="Times New Roman" w:eastAsia="Times New Roman" w:hAnsi="Symbol"/>
          <w:lang w:eastAsia="de-DE"/>
        </w:rPr>
        <w:t></w:t>
      </w:r>
      <w:r w:rsidRPr="00F162EC">
        <w:rPr>
          <w:rFonts w:ascii="Times New Roman" w:eastAsia="Times New Roman" w:hAnsi="Times New Roman"/>
          <w:lang w:eastAsia="de-DE"/>
        </w:rPr>
        <w:t xml:space="preserve">  Whitcomb, John C. &amp; Henry M. Morris. </w:t>
      </w:r>
      <w:r w:rsidRPr="00F162EC">
        <w:rPr>
          <w:rFonts w:ascii="Times New Roman" w:eastAsia="Times New Roman" w:hAnsi="Times New Roman"/>
          <w:i/>
          <w:iCs/>
          <w:lang w:eastAsia="de-DE"/>
        </w:rPr>
        <w:t>The Genesis Flood</w:t>
      </w:r>
      <w:r w:rsidRPr="00F162EC">
        <w:rPr>
          <w:rFonts w:ascii="Times New Roman" w:eastAsia="Times New Roman" w:hAnsi="Times New Roman"/>
          <w:lang w:eastAsia="de-DE"/>
        </w:rPr>
        <w:t>. Presbyterian &amp; Reformed Publishing, 1961.</w:t>
      </w:r>
    </w:p>
    <w:p w14:paraId="536BD9CB" w14:textId="74C0C55B" w:rsidR="00F162EC" w:rsidRDefault="39B6E210" w:rsidP="39B6E210">
      <w:pPr>
        <w:spacing w:before="100" w:beforeAutospacing="1" w:after="100" w:afterAutospacing="1"/>
        <w:rPr>
          <w:rFonts w:ascii="Times New Roman" w:eastAsia="Times New Roman" w:hAnsi="Times New Roman"/>
          <w:lang w:eastAsia="de-DE"/>
        </w:rPr>
      </w:pPr>
      <w:r w:rsidRPr="39B6E210">
        <w:rPr>
          <w:rFonts w:ascii="Times New Roman" w:eastAsia="Times New Roman" w:hAnsi="Symbol"/>
          <w:lang w:eastAsia="de-DE"/>
        </w:rPr>
        <w:t></w:t>
      </w:r>
      <w:r w:rsidRPr="39B6E210">
        <w:rPr>
          <w:rFonts w:ascii="Times New Roman" w:eastAsia="Times New Roman" w:hAnsi="Times New Roman"/>
          <w:lang w:eastAsia="de-DE"/>
        </w:rPr>
        <w:t xml:space="preserve"> Young, Rodger C. "When Did Jerusalem Fall?" </w:t>
      </w:r>
      <w:r w:rsidRPr="39B6E210">
        <w:rPr>
          <w:rFonts w:ascii="Times New Roman" w:eastAsia="Times New Roman" w:hAnsi="Times New Roman"/>
          <w:i/>
          <w:iCs/>
          <w:lang w:eastAsia="de-DE"/>
        </w:rPr>
        <w:t>Journal of the Evangelical Theological Society</w:t>
      </w:r>
      <w:r w:rsidRPr="39B6E210">
        <w:rPr>
          <w:rFonts w:ascii="Times New Roman" w:eastAsia="Times New Roman" w:hAnsi="Times New Roman"/>
          <w:lang w:eastAsia="de-DE"/>
        </w:rPr>
        <w:t xml:space="preserve"> 47.1 (2004): 21-38.</w:t>
      </w:r>
    </w:p>
    <w:p w14:paraId="61436647" w14:textId="77777777" w:rsidR="00F162EC" w:rsidRPr="0011656B" w:rsidRDefault="0011656B" w:rsidP="00714222">
      <w:pPr>
        <w:pStyle w:val="Listenabsatz"/>
        <w:numPr>
          <w:ilvl w:val="0"/>
          <w:numId w:val="361"/>
        </w:numPr>
        <w:spacing w:before="100" w:beforeAutospacing="1" w:after="100" w:afterAutospacing="1"/>
        <w:rPr>
          <w:rFonts w:ascii="Times New Roman" w:eastAsia="Times New Roman" w:hAnsi="Times New Roman"/>
          <w:lang w:eastAsia="de-DE"/>
        </w:rPr>
      </w:pPr>
      <w:r w:rsidRPr="0011656B">
        <w:rPr>
          <w:rFonts w:ascii="Times New Roman" w:eastAsia="Times New Roman" w:hAnsi="Times New Roman"/>
          <w:lang w:eastAsia="de-DE"/>
        </w:rPr>
        <w:t xml:space="preserve">Datenbanken: Thesaurus Linguae Graecae (TLG) · Comprehensive Aramaic Lexicon (CAL) · Database of Latin Dictionaries (DLD) · Perseus Digital Library · Packard Humanities Institute (PHI) Latin Texts · Loeb Classical Library </w:t>
      </w:r>
      <w:r w:rsidRPr="0011656B">
        <w:rPr>
          <w:rFonts w:ascii="Times New Roman" w:eastAsia="Times New Roman" w:hAnsi="Times New Roman"/>
          <w:lang w:eastAsia="de-DE"/>
        </w:rPr>
        <w:lastRenderedPageBreak/>
        <w:t>Digital · Dead Sea Scrolls Digital Library · Babylonian Talmud Digital Database · Responsa Project (Bar-Ilan University) · Online Treasury of Talmudic Manuscripts</w:t>
      </w:r>
    </w:p>
    <w:sectPr w:rsidR="00F162EC" w:rsidRPr="0011656B" w:rsidSect="00C607A0">
      <w:footerReference w:type="default" r:id="rId25"/>
      <w:pgSz w:w="8392" w:h="11907"/>
      <w:pgMar w:top="964" w:right="851" w:bottom="1134" w:left="964" w:header="57" w:footer="0"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Annemarie Tschui" w:date="2024-12-30T19:43:00Z" w:initials="AT">
    <w:p w14:paraId="078E9605" w14:textId="741B73FA" w:rsidR="00BA2659" w:rsidRDefault="00BA2659">
      <w:r>
        <w:t>Gibt es kein Kapitel 11 und 12?</w:t>
      </w:r>
      <w: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78E9605" w15:done="0"/>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4A7CC96E" w16cex:dateUtc="2024-12-30T18:43:13.229Z"/>
</w16cex:commentsExtensible>
</file>

<file path=word/commentsIds.xml><?xml version="1.0" encoding="utf-8"?>
<w16cid:commentsIds xmlns:mc="http://schemas.openxmlformats.org/markup-compatibility/2006" xmlns:w16cid="http://schemas.microsoft.com/office/word/2016/wordml/cid" mc:Ignorable="w16cid">
  <w16cid:commentId w16cid:paraId="078E9605" w16cid:durableId="4A7CC96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D580DE" w14:textId="77777777" w:rsidR="00FE0CE8" w:rsidRDefault="00FE0CE8" w:rsidP="006D20D5">
      <w:r>
        <w:separator/>
      </w:r>
    </w:p>
  </w:endnote>
  <w:endnote w:type="continuationSeparator" w:id="0">
    <w:p w14:paraId="7DA77EEC" w14:textId="77777777" w:rsidR="00FE0CE8" w:rsidRDefault="00FE0CE8" w:rsidP="006D20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37577784-F3CD-4649-AF99-8799E046F7BB}"/>
  </w:font>
  <w:font w:name="Times New Roman">
    <w:panose1 w:val="02020603050405020304"/>
    <w:charset w:val="00"/>
    <w:family w:val="roman"/>
    <w:pitch w:val="variable"/>
    <w:sig w:usb0="E0002EFF" w:usb1="C000785B" w:usb2="00000009" w:usb3="00000000" w:csb0="000001FF" w:csb1="00000000"/>
    <w:embedRegular r:id="rId2" w:fontKey="{F42D7424-A562-470A-860F-9E9FBA724F10}"/>
    <w:embedBold r:id="rId3" w:fontKey="{78F585B5-2E10-4DA4-9FDD-4D1D145B90AC}"/>
    <w:embedItalic r:id="rId4" w:fontKey="{F33AFCD0-100D-4CD5-B1DB-79706E6EC9FB}"/>
    <w:embedBoldItalic r:id="rId5" w:fontKey="{4552078D-8549-4419-BD8A-20402DED02AD}"/>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6" w:fontKey="{0C5A28EE-52F4-422E-A73B-C0FDEF25D4CE}"/>
    <w:embedBold r:id="rId7" w:fontKey="{19376172-63E0-4A67-9145-24659A89160E}"/>
    <w:embedItalic r:id="rId8" w:fontKey="{27944A74-B266-45C1-8BD0-CF810E08F3C6}"/>
    <w:embedBoldItalic r:id="rId9" w:fontKey="{AF371105-7F00-49A8-A037-D2024EA9E685}"/>
  </w:font>
  <w:font w:name="Calibri Light">
    <w:panose1 w:val="020F0302020204030204"/>
    <w:charset w:val="00"/>
    <w:family w:val="swiss"/>
    <w:pitch w:val="variable"/>
    <w:sig w:usb0="E4002EFF" w:usb1="C200247B" w:usb2="00000009" w:usb3="00000000" w:csb0="000001FF" w:csb1="00000000"/>
    <w:embedRegular r:id="rId10" w:fontKey="{BE86B2ED-E595-4F51-B3A2-1357376C95C8}"/>
    <w:embedBold r:id="rId11" w:fontKey="{00F24DB7-989B-4498-976A-2E75CBF03A1B}"/>
    <w:embedItalic r:id="rId12" w:fontKey="{F3814CB1-EF1B-4BE3-9548-730712CB19A9}"/>
    <w:embedBoldItalic r:id="rId13" w:fontKey="{681988B7-CE00-455E-A021-1A0BD8A4CC6A}"/>
  </w:font>
  <w:font w:name="Consolas">
    <w:panose1 w:val="020B0609020204030204"/>
    <w:charset w:val="00"/>
    <w:family w:val="modern"/>
    <w:pitch w:val="fixed"/>
    <w:sig w:usb0="E00006FF" w:usb1="0000FCFF" w:usb2="00000001" w:usb3="00000000" w:csb0="0000019F" w:csb1="00000000"/>
    <w:embedRegular r:id="rId14" w:fontKey="{CBD63561-C792-468F-BB54-DD42414BC804}"/>
  </w:font>
  <w:font w:name="Nirmala UI">
    <w:panose1 w:val="020B0502040204020203"/>
    <w:charset w:val="00"/>
    <w:family w:val="swiss"/>
    <w:pitch w:val="variable"/>
    <w:sig w:usb0="80FF8023" w:usb1="0200004A" w:usb2="00000200" w:usb3="00000000" w:csb0="00000001" w:csb1="00000000"/>
    <w:embedRegular r:id="rId15" w:subsetted="1" w:fontKey="{633A52F8-9599-46AE-82FF-44C4D14A2965}"/>
  </w:font>
  <w:font w:name="Cambria Math">
    <w:panose1 w:val="02040503050406030204"/>
    <w:charset w:val="00"/>
    <w:family w:val="roman"/>
    <w:pitch w:val="variable"/>
    <w:sig w:usb0="E00006FF" w:usb1="420024FF" w:usb2="02000000" w:usb3="00000000" w:csb0="0000019F" w:csb1="00000000"/>
    <w:embedRegular r:id="rId16" w:subsetted="1" w:fontKey="{15538B35-911A-4E3F-90B3-641DC6DC873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0782797"/>
      <w:docPartObj>
        <w:docPartGallery w:val="Page Numbers (Bottom of Page)"/>
        <w:docPartUnique/>
      </w:docPartObj>
    </w:sdtPr>
    <w:sdtContent>
      <w:p w14:paraId="0FB78278" w14:textId="77777777" w:rsidR="00BA2659" w:rsidRDefault="00BA2659" w:rsidP="00FE04F1">
        <w:pPr>
          <w:pStyle w:val="Fuzeile"/>
        </w:pPr>
        <w:r>
          <w:rPr>
            <w:noProof/>
            <w:lang w:eastAsia="de-DE"/>
          </w:rPr>
          <mc:AlternateContent>
            <mc:Choice Requires="wps">
              <w:drawing>
                <wp:inline distT="0" distB="0" distL="0" distR="0" wp14:anchorId="4288003C" wp14:editId="07777777">
                  <wp:extent cx="5467350" cy="45085"/>
                  <wp:effectExtent l="9525" t="9525" r="0" b="2540"/>
                  <wp:docPr id="1" name="Flussdiagramm: Verzweigung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p14="http://schemas.microsoft.com/office/word/2010/wordml" xmlns:a14="http://schemas.microsoft.com/office/drawing/2010/main" xmlns:a="http://schemas.openxmlformats.org/drawingml/2006/main">
              <w:pict w14:anchorId="7ACE0038">
                <v:shapetype id="_x0000_t110" coordsize="21600,21600" o:spt="110" path="m10800,l,10800,10800,21600,21600,10800xe" w14:anchorId="7066DDD3">
                  <v:stroke joinstyle="miter"/>
                  <v:path textboxrect="5400,5400,16200,16200" gradientshapeok="t" o:connecttype="rect"/>
                </v:shapetype>
                <v:shape id="Flussdiagramm: Verzweigung 1" style="width:430.5pt;height:3.55pt;flip:y;visibility:visible;mso-wrap-style:square;mso-left-percent:-10001;mso-top-percent:-10001;mso-position-horizontal:absolute;mso-position-horizontal-relative:char;mso-position-vertical:absolute;mso-position-vertical-relative:line;mso-left-percent:-10001;mso-top-percent:-10001;v-text-anchor:top" alt="Light horizontal" o:spid="_x0000_s1026" fillcolor="black" stroked="f" type="#_x0000_t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">
                  <v:fill type="pattern" o:title="" r:id="rId1"/>
                  <w10:anchorlock/>
                </v:shape>
              </w:pict>
            </mc:Fallback>
          </mc:AlternateContent>
        </w:r>
      </w:p>
      <w:p w14:paraId="76AC220D" w14:textId="77777777" w:rsidR="00BA2659" w:rsidRDefault="00BA2659">
        <w:pPr>
          <w:pStyle w:val="Fuzeile"/>
          <w:jc w:val="center"/>
        </w:pPr>
        <w:r>
          <w:fldChar w:fldCharType="begin"/>
        </w:r>
        <w:r>
          <w:instrText>PAGE    \* MERGEFORMAT</w:instrText>
        </w:r>
        <w:r>
          <w:fldChar w:fldCharType="separate"/>
        </w:r>
        <w:r w:rsidR="002223A6">
          <w:rPr>
            <w:noProof/>
          </w:rPr>
          <w:t>4</w:t>
        </w:r>
        <w:r>
          <w:fldChar w:fldCharType="end"/>
        </w:r>
      </w:p>
    </w:sdtContent>
  </w:sdt>
  <w:p w14:paraId="1FC39945" w14:textId="77777777" w:rsidR="00BA2659" w:rsidRDefault="00BA2659">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DF14EC" w14:textId="77777777" w:rsidR="00FE0CE8" w:rsidRDefault="00FE0CE8" w:rsidP="006D20D5">
      <w:r>
        <w:separator/>
      </w:r>
    </w:p>
  </w:footnote>
  <w:footnote w:type="continuationSeparator" w:id="0">
    <w:p w14:paraId="7A75DD22" w14:textId="77777777" w:rsidR="00FE0CE8" w:rsidRDefault="00FE0CE8" w:rsidP="006D20D5">
      <w:r>
        <w:continuationSeparator/>
      </w:r>
    </w:p>
  </w:footnote>
</w:footnotes>
</file>

<file path=word/intelligence2.xml><?xml version="1.0" encoding="utf-8"?>
<int2:intelligence xmlns:int2="http://schemas.microsoft.com/office/intelligence/2020/intelligence">
  <int2:observations>
    <int2:textHash int2:hashCode="XhR47BdA6Yw6WK" int2:id="ZozqHdXW">
      <int2:state int2:type="LegacyProofing" int2:value="Rejected"/>
    </int2:textHash>
  </int2:observations>
  <int2:intelligenceSettings/>
</int2:intelligence>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7489D"/>
    <w:multiLevelType w:val="multilevel"/>
    <w:tmpl w:val="F79A54A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1E325E"/>
    <w:multiLevelType w:val="multilevel"/>
    <w:tmpl w:val="0628A58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02E05D8"/>
    <w:multiLevelType w:val="multilevel"/>
    <w:tmpl w:val="E0640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0445B3A"/>
    <w:multiLevelType w:val="multilevel"/>
    <w:tmpl w:val="0C0A3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11246E0"/>
    <w:multiLevelType w:val="multilevel"/>
    <w:tmpl w:val="A1E8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11F42E8"/>
    <w:multiLevelType w:val="multilevel"/>
    <w:tmpl w:val="10BA3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293669"/>
    <w:multiLevelType w:val="multilevel"/>
    <w:tmpl w:val="40BCC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7343C4"/>
    <w:multiLevelType w:val="multilevel"/>
    <w:tmpl w:val="001C94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1763CEA"/>
    <w:multiLevelType w:val="multilevel"/>
    <w:tmpl w:val="32182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17805F3"/>
    <w:multiLevelType w:val="multilevel"/>
    <w:tmpl w:val="D4847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1857954"/>
    <w:multiLevelType w:val="multilevel"/>
    <w:tmpl w:val="DA580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18F6CB2"/>
    <w:multiLevelType w:val="multilevel"/>
    <w:tmpl w:val="79E6F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1CB7437"/>
    <w:multiLevelType w:val="multilevel"/>
    <w:tmpl w:val="7B8C5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20D5546"/>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24409B4"/>
    <w:multiLevelType w:val="multilevel"/>
    <w:tmpl w:val="C4FEB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2897B06"/>
    <w:multiLevelType w:val="multilevel"/>
    <w:tmpl w:val="B9046C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2B34E34"/>
    <w:multiLevelType w:val="multilevel"/>
    <w:tmpl w:val="CC7AE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2C332F3"/>
    <w:multiLevelType w:val="multilevel"/>
    <w:tmpl w:val="B128EA4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2DF4BB4"/>
    <w:multiLevelType w:val="multilevel"/>
    <w:tmpl w:val="054EC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34A6DED"/>
    <w:multiLevelType w:val="multilevel"/>
    <w:tmpl w:val="C9B25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3545C4F"/>
    <w:multiLevelType w:val="multilevel"/>
    <w:tmpl w:val="0FCA0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35A3C3B"/>
    <w:multiLevelType w:val="multilevel"/>
    <w:tmpl w:val="C130F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36E4F56"/>
    <w:multiLevelType w:val="multilevel"/>
    <w:tmpl w:val="CB4CA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3D07112"/>
    <w:multiLevelType w:val="multilevel"/>
    <w:tmpl w:val="1AD26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479427C"/>
    <w:multiLevelType w:val="multilevel"/>
    <w:tmpl w:val="B10A6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4DE6EA0"/>
    <w:multiLevelType w:val="multilevel"/>
    <w:tmpl w:val="737CD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4EE3F43"/>
    <w:multiLevelType w:val="multilevel"/>
    <w:tmpl w:val="7DF6A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4F72671"/>
    <w:multiLevelType w:val="multilevel"/>
    <w:tmpl w:val="EB025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5497FB9"/>
    <w:multiLevelType w:val="multilevel"/>
    <w:tmpl w:val="3CA6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05511B6D"/>
    <w:multiLevelType w:val="multilevel"/>
    <w:tmpl w:val="CC7AF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56224F4"/>
    <w:multiLevelType w:val="multilevel"/>
    <w:tmpl w:val="D0F04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572044C"/>
    <w:multiLevelType w:val="multilevel"/>
    <w:tmpl w:val="F6060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58B4497"/>
    <w:multiLevelType w:val="multilevel"/>
    <w:tmpl w:val="08FAD0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5996D41"/>
    <w:multiLevelType w:val="multilevel"/>
    <w:tmpl w:val="60622F3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59B3FD8"/>
    <w:multiLevelType w:val="hybridMultilevel"/>
    <w:tmpl w:val="972AB18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059C5DE2"/>
    <w:multiLevelType w:val="multilevel"/>
    <w:tmpl w:val="07709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6051C7D"/>
    <w:multiLevelType w:val="multilevel"/>
    <w:tmpl w:val="2CD40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071E4D36"/>
    <w:multiLevelType w:val="multilevel"/>
    <w:tmpl w:val="A8DECB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7364B36"/>
    <w:multiLevelType w:val="multilevel"/>
    <w:tmpl w:val="3F6EE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07382F8A"/>
    <w:multiLevelType w:val="multilevel"/>
    <w:tmpl w:val="0A327F1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073D5763"/>
    <w:multiLevelType w:val="multilevel"/>
    <w:tmpl w:val="84985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8624DDB"/>
    <w:multiLevelType w:val="multilevel"/>
    <w:tmpl w:val="021EA28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08777D2D"/>
    <w:multiLevelType w:val="multilevel"/>
    <w:tmpl w:val="D08042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8D056FF"/>
    <w:multiLevelType w:val="multilevel"/>
    <w:tmpl w:val="54D86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9CE60E7"/>
    <w:multiLevelType w:val="multilevel"/>
    <w:tmpl w:val="97F89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09F1266F"/>
    <w:multiLevelType w:val="multilevel"/>
    <w:tmpl w:val="6142B5A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09F94D78"/>
    <w:multiLevelType w:val="multilevel"/>
    <w:tmpl w:val="8016513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0A290532"/>
    <w:multiLevelType w:val="multilevel"/>
    <w:tmpl w:val="228832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0A325E2B"/>
    <w:multiLevelType w:val="multilevel"/>
    <w:tmpl w:val="AC5CDF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0A3A1336"/>
    <w:multiLevelType w:val="multilevel"/>
    <w:tmpl w:val="7460E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0A9F3598"/>
    <w:multiLevelType w:val="multilevel"/>
    <w:tmpl w:val="72800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0B281C37"/>
    <w:multiLevelType w:val="multilevel"/>
    <w:tmpl w:val="2B70B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B33434D"/>
    <w:multiLevelType w:val="multilevel"/>
    <w:tmpl w:val="3E047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B3C1E89"/>
    <w:multiLevelType w:val="multilevel"/>
    <w:tmpl w:val="4D4CE8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0B834C7A"/>
    <w:multiLevelType w:val="multilevel"/>
    <w:tmpl w:val="68A02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BE86717"/>
    <w:multiLevelType w:val="multilevel"/>
    <w:tmpl w:val="35B27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C48696C"/>
    <w:multiLevelType w:val="multilevel"/>
    <w:tmpl w:val="5BE6F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0C526251"/>
    <w:multiLevelType w:val="multilevel"/>
    <w:tmpl w:val="255C9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C6706CC"/>
    <w:multiLevelType w:val="multilevel"/>
    <w:tmpl w:val="E4427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0CAB328E"/>
    <w:multiLevelType w:val="multilevel"/>
    <w:tmpl w:val="46189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CDF04B8"/>
    <w:multiLevelType w:val="multilevel"/>
    <w:tmpl w:val="76807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CE011C8"/>
    <w:multiLevelType w:val="multilevel"/>
    <w:tmpl w:val="8E62C7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0D256528"/>
    <w:multiLevelType w:val="multilevel"/>
    <w:tmpl w:val="1B7A8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0D6164D9"/>
    <w:multiLevelType w:val="multilevel"/>
    <w:tmpl w:val="51D27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E0C0A3E"/>
    <w:multiLevelType w:val="multilevel"/>
    <w:tmpl w:val="56CA0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0E1F6CCE"/>
    <w:multiLevelType w:val="multilevel"/>
    <w:tmpl w:val="E494A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E517019"/>
    <w:multiLevelType w:val="multilevel"/>
    <w:tmpl w:val="8B466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0E8C499C"/>
    <w:multiLevelType w:val="multilevel"/>
    <w:tmpl w:val="3B9C3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E8E0B9B"/>
    <w:multiLevelType w:val="multilevel"/>
    <w:tmpl w:val="D1B46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EE651D5"/>
    <w:multiLevelType w:val="multilevel"/>
    <w:tmpl w:val="32704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F07407E"/>
    <w:multiLevelType w:val="multilevel"/>
    <w:tmpl w:val="D5664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0F5901C3"/>
    <w:multiLevelType w:val="multilevel"/>
    <w:tmpl w:val="6DBC22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0FB12DB6"/>
    <w:multiLevelType w:val="multilevel"/>
    <w:tmpl w:val="A4527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0FC65198"/>
    <w:multiLevelType w:val="multilevel"/>
    <w:tmpl w:val="12906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FFE41FB"/>
    <w:multiLevelType w:val="multilevel"/>
    <w:tmpl w:val="1BF4D3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10913FD8"/>
    <w:multiLevelType w:val="multilevel"/>
    <w:tmpl w:val="157C9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114716D5"/>
    <w:multiLevelType w:val="multilevel"/>
    <w:tmpl w:val="38AEFE0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11662311"/>
    <w:multiLevelType w:val="multilevel"/>
    <w:tmpl w:val="177EBA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1A34B6E"/>
    <w:multiLevelType w:val="multilevel"/>
    <w:tmpl w:val="F9BE92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11BB7217"/>
    <w:multiLevelType w:val="multilevel"/>
    <w:tmpl w:val="43709F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11E9459D"/>
    <w:multiLevelType w:val="multilevel"/>
    <w:tmpl w:val="A168B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22E0FB1"/>
    <w:multiLevelType w:val="multilevel"/>
    <w:tmpl w:val="477E2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27C4346"/>
    <w:multiLevelType w:val="multilevel"/>
    <w:tmpl w:val="0C1009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13846386"/>
    <w:multiLevelType w:val="multilevel"/>
    <w:tmpl w:val="AB8A4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4140985"/>
    <w:multiLevelType w:val="multilevel"/>
    <w:tmpl w:val="CAA6B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42329FD"/>
    <w:multiLevelType w:val="multilevel"/>
    <w:tmpl w:val="2696A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4374840"/>
    <w:multiLevelType w:val="multilevel"/>
    <w:tmpl w:val="2950610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1460587B"/>
    <w:multiLevelType w:val="multilevel"/>
    <w:tmpl w:val="45064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4704719"/>
    <w:multiLevelType w:val="multilevel"/>
    <w:tmpl w:val="879C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14744CA9"/>
    <w:multiLevelType w:val="multilevel"/>
    <w:tmpl w:val="809C66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14843BDE"/>
    <w:multiLevelType w:val="multilevel"/>
    <w:tmpl w:val="F6F47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4EB42F3"/>
    <w:multiLevelType w:val="multilevel"/>
    <w:tmpl w:val="3A426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156908B9"/>
    <w:multiLevelType w:val="multilevel"/>
    <w:tmpl w:val="92F41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5800D6A"/>
    <w:multiLevelType w:val="multilevel"/>
    <w:tmpl w:val="AD4E05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160D3852"/>
    <w:multiLevelType w:val="multilevel"/>
    <w:tmpl w:val="BEC28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62131EE"/>
    <w:multiLevelType w:val="multilevel"/>
    <w:tmpl w:val="8D4C2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163F16B5"/>
    <w:multiLevelType w:val="multilevel"/>
    <w:tmpl w:val="BE6826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16D3453A"/>
    <w:multiLevelType w:val="multilevel"/>
    <w:tmpl w:val="17E4D7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77E6060"/>
    <w:multiLevelType w:val="multilevel"/>
    <w:tmpl w:val="0FDE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17BE1055"/>
    <w:multiLevelType w:val="multilevel"/>
    <w:tmpl w:val="A3882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7CA5932"/>
    <w:multiLevelType w:val="multilevel"/>
    <w:tmpl w:val="5364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17F54754"/>
    <w:multiLevelType w:val="multilevel"/>
    <w:tmpl w:val="62200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182F69E9"/>
    <w:multiLevelType w:val="multilevel"/>
    <w:tmpl w:val="B3DEDAB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184C62C8"/>
    <w:multiLevelType w:val="multilevel"/>
    <w:tmpl w:val="A8B24B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18576AF3"/>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8616523"/>
    <w:multiLevelType w:val="multilevel"/>
    <w:tmpl w:val="654A3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18680D99"/>
    <w:multiLevelType w:val="multilevel"/>
    <w:tmpl w:val="956267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18757894"/>
    <w:multiLevelType w:val="multilevel"/>
    <w:tmpl w:val="0ABAE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89A05F8"/>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8A47D85"/>
    <w:multiLevelType w:val="multilevel"/>
    <w:tmpl w:val="475AB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941122D"/>
    <w:multiLevelType w:val="multilevel"/>
    <w:tmpl w:val="E7C87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9797C15"/>
    <w:multiLevelType w:val="multilevel"/>
    <w:tmpl w:val="FAEE2D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19E81B3C"/>
    <w:multiLevelType w:val="multilevel"/>
    <w:tmpl w:val="0F7C8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1A352B65"/>
    <w:multiLevelType w:val="multilevel"/>
    <w:tmpl w:val="023C3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A403BD7"/>
    <w:multiLevelType w:val="multilevel"/>
    <w:tmpl w:val="C7D4B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1ADA5CA0"/>
    <w:multiLevelType w:val="multilevel"/>
    <w:tmpl w:val="6F521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AFB531D"/>
    <w:multiLevelType w:val="multilevel"/>
    <w:tmpl w:val="9CF02EA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1AFD13C3"/>
    <w:multiLevelType w:val="multilevel"/>
    <w:tmpl w:val="C472D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1B3B5039"/>
    <w:multiLevelType w:val="multilevel"/>
    <w:tmpl w:val="D966C4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1BDE4BE8"/>
    <w:multiLevelType w:val="multilevel"/>
    <w:tmpl w:val="8A508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1C48275C"/>
    <w:multiLevelType w:val="multilevel"/>
    <w:tmpl w:val="6158F9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1C744E53"/>
    <w:multiLevelType w:val="multilevel"/>
    <w:tmpl w:val="33A0D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CCC6A1C"/>
    <w:multiLevelType w:val="multilevel"/>
    <w:tmpl w:val="F454C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CD673CB"/>
    <w:multiLevelType w:val="multilevel"/>
    <w:tmpl w:val="084EFB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1CDB4541"/>
    <w:multiLevelType w:val="multilevel"/>
    <w:tmpl w:val="022ED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1D113EDA"/>
    <w:multiLevelType w:val="multilevel"/>
    <w:tmpl w:val="F580B3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1D1202F9"/>
    <w:multiLevelType w:val="multilevel"/>
    <w:tmpl w:val="4E02152E"/>
    <w:lvl w:ilvl="0">
      <w:start w:val="2"/>
      <w:numFmt w:val="decimal"/>
      <w:lvlText w:val="%1."/>
      <w:lvlJc w:val="left"/>
      <w:pPr>
        <w:tabs>
          <w:tab w:val="num" w:pos="720"/>
        </w:tabs>
        <w:ind w:left="360" w:hanging="360"/>
      </w:pPr>
    </w:lvl>
    <w:lvl w:ilvl="1" w:tentative="1">
      <w:start w:val="1"/>
      <w:numFmt w:val="decimal"/>
      <w:lvlText w:val="%2."/>
      <w:lvlJc w:val="left"/>
      <w:pPr>
        <w:tabs>
          <w:tab w:val="num" w:pos="1440"/>
        </w:tabs>
        <w:ind w:left="1080" w:hanging="360"/>
      </w:pPr>
    </w:lvl>
    <w:lvl w:ilvl="2" w:tentative="1">
      <w:start w:val="1"/>
      <w:numFmt w:val="decimal"/>
      <w:lvlText w:val="%3."/>
      <w:lvlJc w:val="left"/>
      <w:pPr>
        <w:tabs>
          <w:tab w:val="num" w:pos="2160"/>
        </w:tabs>
        <w:ind w:left="1800" w:hanging="360"/>
      </w:pPr>
    </w:lvl>
    <w:lvl w:ilvl="3" w:tentative="1">
      <w:start w:val="1"/>
      <w:numFmt w:val="decimal"/>
      <w:lvlText w:val="%4."/>
      <w:lvlJc w:val="left"/>
      <w:pPr>
        <w:tabs>
          <w:tab w:val="num" w:pos="2880"/>
        </w:tabs>
        <w:ind w:left="2520" w:hanging="360"/>
      </w:pPr>
    </w:lvl>
    <w:lvl w:ilvl="4" w:tentative="1">
      <w:start w:val="1"/>
      <w:numFmt w:val="decimal"/>
      <w:lvlText w:val="%5."/>
      <w:lvlJc w:val="left"/>
      <w:pPr>
        <w:tabs>
          <w:tab w:val="num" w:pos="3600"/>
        </w:tabs>
        <w:ind w:left="3240" w:hanging="360"/>
      </w:pPr>
    </w:lvl>
    <w:lvl w:ilvl="5" w:tentative="1">
      <w:start w:val="1"/>
      <w:numFmt w:val="decimal"/>
      <w:lvlText w:val="%6."/>
      <w:lvlJc w:val="left"/>
      <w:pPr>
        <w:tabs>
          <w:tab w:val="num" w:pos="4320"/>
        </w:tabs>
        <w:ind w:left="3960" w:hanging="360"/>
      </w:pPr>
    </w:lvl>
    <w:lvl w:ilvl="6" w:tentative="1">
      <w:start w:val="1"/>
      <w:numFmt w:val="decimal"/>
      <w:lvlText w:val="%7."/>
      <w:lvlJc w:val="left"/>
      <w:pPr>
        <w:tabs>
          <w:tab w:val="num" w:pos="5040"/>
        </w:tabs>
        <w:ind w:left="4680" w:hanging="360"/>
      </w:pPr>
    </w:lvl>
    <w:lvl w:ilvl="7" w:tentative="1">
      <w:start w:val="1"/>
      <w:numFmt w:val="decimal"/>
      <w:lvlText w:val="%8."/>
      <w:lvlJc w:val="left"/>
      <w:pPr>
        <w:tabs>
          <w:tab w:val="num" w:pos="5760"/>
        </w:tabs>
        <w:ind w:left="5400" w:hanging="360"/>
      </w:pPr>
    </w:lvl>
    <w:lvl w:ilvl="8" w:tentative="1">
      <w:start w:val="1"/>
      <w:numFmt w:val="decimal"/>
      <w:lvlText w:val="%9."/>
      <w:lvlJc w:val="left"/>
      <w:pPr>
        <w:tabs>
          <w:tab w:val="num" w:pos="6480"/>
        </w:tabs>
        <w:ind w:left="6120" w:hanging="360"/>
      </w:pPr>
    </w:lvl>
  </w:abstractNum>
  <w:abstractNum w:abstractNumId="127" w15:restartNumberingAfterBreak="0">
    <w:nsid w:val="1D253FF4"/>
    <w:multiLevelType w:val="multilevel"/>
    <w:tmpl w:val="81F4041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1D6B5AC6"/>
    <w:multiLevelType w:val="multilevel"/>
    <w:tmpl w:val="49C2F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1D7C5CF5"/>
    <w:multiLevelType w:val="multilevel"/>
    <w:tmpl w:val="E1FAB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D9F087F"/>
    <w:multiLevelType w:val="multilevel"/>
    <w:tmpl w:val="2FDA0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1DAF6AD3"/>
    <w:multiLevelType w:val="multilevel"/>
    <w:tmpl w:val="EFCAB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1DD354D0"/>
    <w:multiLevelType w:val="multilevel"/>
    <w:tmpl w:val="D28E3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DDC2888"/>
    <w:multiLevelType w:val="multilevel"/>
    <w:tmpl w:val="4080E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E320A90"/>
    <w:multiLevelType w:val="multilevel"/>
    <w:tmpl w:val="F2E6F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E5B5381"/>
    <w:multiLevelType w:val="multilevel"/>
    <w:tmpl w:val="744883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1EB24494"/>
    <w:multiLevelType w:val="multilevel"/>
    <w:tmpl w:val="48E01B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1EC64A1B"/>
    <w:multiLevelType w:val="multilevel"/>
    <w:tmpl w:val="84F2D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1EEB47F8"/>
    <w:multiLevelType w:val="multilevel"/>
    <w:tmpl w:val="7B3E57E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1EFF4D29"/>
    <w:multiLevelType w:val="multilevel"/>
    <w:tmpl w:val="C6821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F0A6DB5"/>
    <w:multiLevelType w:val="multilevel"/>
    <w:tmpl w:val="1BE44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F215ED9"/>
    <w:multiLevelType w:val="multilevel"/>
    <w:tmpl w:val="D466E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1F6C30FD"/>
    <w:multiLevelType w:val="multilevel"/>
    <w:tmpl w:val="475E70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1FE664F1"/>
    <w:multiLevelType w:val="multilevel"/>
    <w:tmpl w:val="7A126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200058C9"/>
    <w:multiLevelType w:val="multilevel"/>
    <w:tmpl w:val="BFBAED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201E615D"/>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20226892"/>
    <w:multiLevelType w:val="multilevel"/>
    <w:tmpl w:val="06B0C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20AC1156"/>
    <w:multiLevelType w:val="multilevel"/>
    <w:tmpl w:val="A2725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20DD784C"/>
    <w:multiLevelType w:val="multilevel"/>
    <w:tmpl w:val="773A6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21685706"/>
    <w:multiLevelType w:val="multilevel"/>
    <w:tmpl w:val="F2E6F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1EC0949"/>
    <w:multiLevelType w:val="multilevel"/>
    <w:tmpl w:val="CD6EA3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22106974"/>
    <w:multiLevelType w:val="multilevel"/>
    <w:tmpl w:val="C65C67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224320DA"/>
    <w:multiLevelType w:val="multilevel"/>
    <w:tmpl w:val="219A7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28A523D"/>
    <w:multiLevelType w:val="multilevel"/>
    <w:tmpl w:val="6CF0A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2B40FD7"/>
    <w:multiLevelType w:val="multilevel"/>
    <w:tmpl w:val="D576A2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22C34304"/>
    <w:multiLevelType w:val="multilevel"/>
    <w:tmpl w:val="55900D1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22D21CD7"/>
    <w:multiLevelType w:val="multilevel"/>
    <w:tmpl w:val="2C820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2EE2E2B"/>
    <w:multiLevelType w:val="multilevel"/>
    <w:tmpl w:val="B0403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23006533"/>
    <w:multiLevelType w:val="multilevel"/>
    <w:tmpl w:val="368261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2360655A"/>
    <w:multiLevelType w:val="multilevel"/>
    <w:tmpl w:val="FCEC6F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23633D37"/>
    <w:multiLevelType w:val="multilevel"/>
    <w:tmpl w:val="2B585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23A649A4"/>
    <w:multiLevelType w:val="multilevel"/>
    <w:tmpl w:val="B3EAB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23BD3FE3"/>
    <w:multiLevelType w:val="multilevel"/>
    <w:tmpl w:val="5AF84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4283D6A"/>
    <w:multiLevelType w:val="multilevel"/>
    <w:tmpl w:val="9A484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246A2463"/>
    <w:multiLevelType w:val="multilevel"/>
    <w:tmpl w:val="3120F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46C0741"/>
    <w:multiLevelType w:val="multilevel"/>
    <w:tmpl w:val="DF5A1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49647C5"/>
    <w:multiLevelType w:val="multilevel"/>
    <w:tmpl w:val="4C9EA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24BB641E"/>
    <w:multiLevelType w:val="multilevel"/>
    <w:tmpl w:val="4600D36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24C26C3E"/>
    <w:multiLevelType w:val="multilevel"/>
    <w:tmpl w:val="AAC03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24D11823"/>
    <w:multiLevelType w:val="multilevel"/>
    <w:tmpl w:val="32543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4E92513"/>
    <w:multiLevelType w:val="multilevel"/>
    <w:tmpl w:val="E6E21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4F91A23"/>
    <w:multiLevelType w:val="multilevel"/>
    <w:tmpl w:val="E1BED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51972CC"/>
    <w:multiLevelType w:val="multilevel"/>
    <w:tmpl w:val="BFAC9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254D34E9"/>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25A970F1"/>
    <w:multiLevelType w:val="multilevel"/>
    <w:tmpl w:val="2B7ED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26262706"/>
    <w:multiLevelType w:val="multilevel"/>
    <w:tmpl w:val="7E88A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26D45BAA"/>
    <w:multiLevelType w:val="multilevel"/>
    <w:tmpl w:val="A238C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6D57813"/>
    <w:multiLevelType w:val="multilevel"/>
    <w:tmpl w:val="8AE4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27051AD2"/>
    <w:multiLevelType w:val="multilevel"/>
    <w:tmpl w:val="239C8C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276A48A1"/>
    <w:multiLevelType w:val="multilevel"/>
    <w:tmpl w:val="FD6E1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27900847"/>
    <w:multiLevelType w:val="multilevel"/>
    <w:tmpl w:val="9E8C0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7AD47F0"/>
    <w:multiLevelType w:val="multilevel"/>
    <w:tmpl w:val="2E944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27B03CEA"/>
    <w:multiLevelType w:val="multilevel"/>
    <w:tmpl w:val="2D8A5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27D70B87"/>
    <w:multiLevelType w:val="multilevel"/>
    <w:tmpl w:val="B3BCE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27F234F5"/>
    <w:multiLevelType w:val="multilevel"/>
    <w:tmpl w:val="CA28E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284777A3"/>
    <w:multiLevelType w:val="multilevel"/>
    <w:tmpl w:val="DFFC5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28A801D0"/>
    <w:multiLevelType w:val="multilevel"/>
    <w:tmpl w:val="5DFCF8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28AE608D"/>
    <w:multiLevelType w:val="multilevel"/>
    <w:tmpl w:val="7F209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28B4362B"/>
    <w:multiLevelType w:val="multilevel"/>
    <w:tmpl w:val="A6326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28D93491"/>
    <w:multiLevelType w:val="multilevel"/>
    <w:tmpl w:val="96FA94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291C5810"/>
    <w:multiLevelType w:val="multilevel"/>
    <w:tmpl w:val="68842D8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29402E24"/>
    <w:multiLevelType w:val="multilevel"/>
    <w:tmpl w:val="CF4A0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A0E27B2"/>
    <w:multiLevelType w:val="multilevel"/>
    <w:tmpl w:val="446C2E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2A3A2060"/>
    <w:multiLevelType w:val="multilevel"/>
    <w:tmpl w:val="5CBAC86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2A437C9D"/>
    <w:multiLevelType w:val="multilevel"/>
    <w:tmpl w:val="EA50A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2A9A1614"/>
    <w:multiLevelType w:val="multilevel"/>
    <w:tmpl w:val="5CDCB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ADC6F9B"/>
    <w:multiLevelType w:val="multilevel"/>
    <w:tmpl w:val="D480B08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2AEA7DC6"/>
    <w:multiLevelType w:val="multilevel"/>
    <w:tmpl w:val="AF549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2B1B625D"/>
    <w:multiLevelType w:val="multilevel"/>
    <w:tmpl w:val="92A664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2B256A4A"/>
    <w:multiLevelType w:val="multilevel"/>
    <w:tmpl w:val="DA882B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2B8E1078"/>
    <w:multiLevelType w:val="multilevel"/>
    <w:tmpl w:val="F2E6F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B94761D"/>
    <w:multiLevelType w:val="multilevel"/>
    <w:tmpl w:val="EE28F9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2BD71CD3"/>
    <w:multiLevelType w:val="multilevel"/>
    <w:tmpl w:val="DD7A2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C0D22BE"/>
    <w:multiLevelType w:val="multilevel"/>
    <w:tmpl w:val="2EA84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C1B4893"/>
    <w:multiLevelType w:val="multilevel"/>
    <w:tmpl w:val="C2A01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2C1C59D5"/>
    <w:multiLevelType w:val="multilevel"/>
    <w:tmpl w:val="1C22B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2C7429E3"/>
    <w:multiLevelType w:val="multilevel"/>
    <w:tmpl w:val="625A97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2C7D7439"/>
    <w:multiLevelType w:val="multilevel"/>
    <w:tmpl w:val="0CFA4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2D136077"/>
    <w:multiLevelType w:val="multilevel"/>
    <w:tmpl w:val="12EE9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2D401C92"/>
    <w:multiLevelType w:val="multilevel"/>
    <w:tmpl w:val="69B24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2DA540BC"/>
    <w:multiLevelType w:val="multilevel"/>
    <w:tmpl w:val="66683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2E2050CD"/>
    <w:multiLevelType w:val="multilevel"/>
    <w:tmpl w:val="F2E6F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2E3D1581"/>
    <w:multiLevelType w:val="multilevel"/>
    <w:tmpl w:val="46660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2E470486"/>
    <w:multiLevelType w:val="multilevel"/>
    <w:tmpl w:val="5B82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2E4952B1"/>
    <w:multiLevelType w:val="multilevel"/>
    <w:tmpl w:val="4BF43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2E553A66"/>
    <w:multiLevelType w:val="multilevel"/>
    <w:tmpl w:val="2CFAEF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2E720117"/>
    <w:multiLevelType w:val="multilevel"/>
    <w:tmpl w:val="0E44C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2E9B1CD7"/>
    <w:multiLevelType w:val="multilevel"/>
    <w:tmpl w:val="2B7EF1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2E9F4879"/>
    <w:multiLevelType w:val="multilevel"/>
    <w:tmpl w:val="01487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2EB20F71"/>
    <w:multiLevelType w:val="multilevel"/>
    <w:tmpl w:val="1C9CE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2F1F67B7"/>
    <w:multiLevelType w:val="multilevel"/>
    <w:tmpl w:val="2960971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2F20082A"/>
    <w:multiLevelType w:val="multilevel"/>
    <w:tmpl w:val="CAFA9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15:restartNumberingAfterBreak="0">
    <w:nsid w:val="2F21436F"/>
    <w:multiLevelType w:val="multilevel"/>
    <w:tmpl w:val="74F096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2F6B6851"/>
    <w:multiLevelType w:val="multilevel"/>
    <w:tmpl w:val="60449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2F8550DA"/>
    <w:multiLevelType w:val="multilevel"/>
    <w:tmpl w:val="EE5CC4C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15:restartNumberingAfterBreak="0">
    <w:nsid w:val="2FC42730"/>
    <w:multiLevelType w:val="multilevel"/>
    <w:tmpl w:val="20A6C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15:restartNumberingAfterBreak="0">
    <w:nsid w:val="307355B7"/>
    <w:multiLevelType w:val="multilevel"/>
    <w:tmpl w:val="2BF6B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309B6CD6"/>
    <w:multiLevelType w:val="multilevel"/>
    <w:tmpl w:val="20B63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8" w15:restartNumberingAfterBreak="0">
    <w:nsid w:val="30CE1126"/>
    <w:multiLevelType w:val="multilevel"/>
    <w:tmpl w:val="3938A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9" w15:restartNumberingAfterBreak="0">
    <w:nsid w:val="30D10038"/>
    <w:multiLevelType w:val="multilevel"/>
    <w:tmpl w:val="08284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0EB6618"/>
    <w:multiLevelType w:val="multilevel"/>
    <w:tmpl w:val="F724D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30FC74B0"/>
    <w:multiLevelType w:val="multilevel"/>
    <w:tmpl w:val="8F24F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15:restartNumberingAfterBreak="0">
    <w:nsid w:val="31082D94"/>
    <w:multiLevelType w:val="multilevel"/>
    <w:tmpl w:val="7922A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1095587"/>
    <w:multiLevelType w:val="multilevel"/>
    <w:tmpl w:val="D99815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4" w15:restartNumberingAfterBreak="0">
    <w:nsid w:val="31345D39"/>
    <w:multiLevelType w:val="multilevel"/>
    <w:tmpl w:val="476EA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14B4B75"/>
    <w:multiLevelType w:val="multilevel"/>
    <w:tmpl w:val="F43C3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15:restartNumberingAfterBreak="0">
    <w:nsid w:val="31722128"/>
    <w:multiLevelType w:val="multilevel"/>
    <w:tmpl w:val="46D0F5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17514D7"/>
    <w:multiLevelType w:val="multilevel"/>
    <w:tmpl w:val="81CC1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15:restartNumberingAfterBreak="0">
    <w:nsid w:val="318D3489"/>
    <w:multiLevelType w:val="multilevel"/>
    <w:tmpl w:val="35DA56D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15:restartNumberingAfterBreak="0">
    <w:nsid w:val="32017DA8"/>
    <w:multiLevelType w:val="multilevel"/>
    <w:tmpl w:val="BA70C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32BD2ACD"/>
    <w:multiLevelType w:val="multilevel"/>
    <w:tmpl w:val="82765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2E77FB9"/>
    <w:multiLevelType w:val="multilevel"/>
    <w:tmpl w:val="7A348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32FE71D7"/>
    <w:multiLevelType w:val="multilevel"/>
    <w:tmpl w:val="07022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332E325F"/>
    <w:multiLevelType w:val="multilevel"/>
    <w:tmpl w:val="42EE04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33BD06E3"/>
    <w:multiLevelType w:val="multilevel"/>
    <w:tmpl w:val="BB02BB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15:restartNumberingAfterBreak="0">
    <w:nsid w:val="33E64413"/>
    <w:multiLevelType w:val="multilevel"/>
    <w:tmpl w:val="AD841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33F322C0"/>
    <w:multiLevelType w:val="multilevel"/>
    <w:tmpl w:val="A634B33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34184122"/>
    <w:multiLevelType w:val="multilevel"/>
    <w:tmpl w:val="FA9CF1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34277EB2"/>
    <w:multiLevelType w:val="multilevel"/>
    <w:tmpl w:val="98A8D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483504B"/>
    <w:multiLevelType w:val="multilevel"/>
    <w:tmpl w:val="2D7EB28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15:restartNumberingAfterBreak="0">
    <w:nsid w:val="348D45F6"/>
    <w:multiLevelType w:val="multilevel"/>
    <w:tmpl w:val="527CD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34BA0E20"/>
    <w:multiLevelType w:val="multilevel"/>
    <w:tmpl w:val="0CF22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34BE2317"/>
    <w:multiLevelType w:val="multilevel"/>
    <w:tmpl w:val="BF3AC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34DE6452"/>
    <w:multiLevelType w:val="multilevel"/>
    <w:tmpl w:val="C400D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4" w15:restartNumberingAfterBreak="0">
    <w:nsid w:val="34EA3D6A"/>
    <w:multiLevelType w:val="multilevel"/>
    <w:tmpl w:val="89F86F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35011B6F"/>
    <w:multiLevelType w:val="multilevel"/>
    <w:tmpl w:val="54C210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15:restartNumberingAfterBreak="0">
    <w:nsid w:val="352F182F"/>
    <w:multiLevelType w:val="multilevel"/>
    <w:tmpl w:val="F16A1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353B5438"/>
    <w:multiLevelType w:val="multilevel"/>
    <w:tmpl w:val="54A83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35AD6B23"/>
    <w:multiLevelType w:val="multilevel"/>
    <w:tmpl w:val="D1008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35FC4920"/>
    <w:multiLevelType w:val="multilevel"/>
    <w:tmpl w:val="18D27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36011157"/>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360F1148"/>
    <w:multiLevelType w:val="multilevel"/>
    <w:tmpl w:val="67DE1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36355768"/>
    <w:multiLevelType w:val="multilevel"/>
    <w:tmpl w:val="EF0EA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366B5364"/>
    <w:multiLevelType w:val="multilevel"/>
    <w:tmpl w:val="E662D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15:restartNumberingAfterBreak="0">
    <w:nsid w:val="369C3F48"/>
    <w:multiLevelType w:val="multilevel"/>
    <w:tmpl w:val="BB64A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7C8352A"/>
    <w:multiLevelType w:val="multilevel"/>
    <w:tmpl w:val="B35081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37D07442"/>
    <w:multiLevelType w:val="multilevel"/>
    <w:tmpl w:val="D0AC102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37EC0F65"/>
    <w:multiLevelType w:val="multilevel"/>
    <w:tmpl w:val="73842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37F8752A"/>
    <w:multiLevelType w:val="multilevel"/>
    <w:tmpl w:val="5B0AF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9" w15:restartNumberingAfterBreak="0">
    <w:nsid w:val="383F0B5F"/>
    <w:multiLevelType w:val="multilevel"/>
    <w:tmpl w:val="F3021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38AF43CD"/>
    <w:multiLevelType w:val="multilevel"/>
    <w:tmpl w:val="95D811A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39250C16"/>
    <w:multiLevelType w:val="multilevel"/>
    <w:tmpl w:val="A2F28A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15:restartNumberingAfterBreak="0">
    <w:nsid w:val="392929CA"/>
    <w:multiLevelType w:val="multilevel"/>
    <w:tmpl w:val="ECFAC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39372DC3"/>
    <w:multiLevelType w:val="multilevel"/>
    <w:tmpl w:val="8CE25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396760C6"/>
    <w:multiLevelType w:val="multilevel"/>
    <w:tmpl w:val="9F0C1822"/>
    <w:lvl w:ilvl="0">
      <w:start w:val="1"/>
      <w:numFmt w:val="decimal"/>
      <w:lvlText w:val="%1."/>
      <w:lvlJc w:val="left"/>
      <w:pPr>
        <w:tabs>
          <w:tab w:val="num" w:pos="720"/>
        </w:tabs>
        <w:ind w:left="360" w:hanging="360"/>
      </w:pPr>
    </w:lvl>
    <w:lvl w:ilvl="1" w:tentative="1">
      <w:start w:val="1"/>
      <w:numFmt w:val="decimal"/>
      <w:lvlText w:val="%2."/>
      <w:lvlJc w:val="left"/>
      <w:pPr>
        <w:tabs>
          <w:tab w:val="num" w:pos="1440"/>
        </w:tabs>
        <w:ind w:left="1080" w:hanging="360"/>
      </w:pPr>
    </w:lvl>
    <w:lvl w:ilvl="2" w:tentative="1">
      <w:start w:val="1"/>
      <w:numFmt w:val="decimal"/>
      <w:lvlText w:val="%3."/>
      <w:lvlJc w:val="left"/>
      <w:pPr>
        <w:tabs>
          <w:tab w:val="num" w:pos="2160"/>
        </w:tabs>
        <w:ind w:left="1800" w:hanging="360"/>
      </w:pPr>
    </w:lvl>
    <w:lvl w:ilvl="3" w:tentative="1">
      <w:start w:val="1"/>
      <w:numFmt w:val="decimal"/>
      <w:lvlText w:val="%4."/>
      <w:lvlJc w:val="left"/>
      <w:pPr>
        <w:tabs>
          <w:tab w:val="num" w:pos="2880"/>
        </w:tabs>
        <w:ind w:left="2520" w:hanging="360"/>
      </w:pPr>
    </w:lvl>
    <w:lvl w:ilvl="4" w:tentative="1">
      <w:start w:val="1"/>
      <w:numFmt w:val="decimal"/>
      <w:lvlText w:val="%5."/>
      <w:lvlJc w:val="left"/>
      <w:pPr>
        <w:tabs>
          <w:tab w:val="num" w:pos="3600"/>
        </w:tabs>
        <w:ind w:left="3240" w:hanging="360"/>
      </w:pPr>
    </w:lvl>
    <w:lvl w:ilvl="5" w:tentative="1">
      <w:start w:val="1"/>
      <w:numFmt w:val="decimal"/>
      <w:lvlText w:val="%6."/>
      <w:lvlJc w:val="left"/>
      <w:pPr>
        <w:tabs>
          <w:tab w:val="num" w:pos="4320"/>
        </w:tabs>
        <w:ind w:left="3960" w:hanging="360"/>
      </w:pPr>
    </w:lvl>
    <w:lvl w:ilvl="6" w:tentative="1">
      <w:start w:val="1"/>
      <w:numFmt w:val="decimal"/>
      <w:lvlText w:val="%7."/>
      <w:lvlJc w:val="left"/>
      <w:pPr>
        <w:tabs>
          <w:tab w:val="num" w:pos="5040"/>
        </w:tabs>
        <w:ind w:left="4680" w:hanging="360"/>
      </w:pPr>
    </w:lvl>
    <w:lvl w:ilvl="7" w:tentative="1">
      <w:start w:val="1"/>
      <w:numFmt w:val="decimal"/>
      <w:lvlText w:val="%8."/>
      <w:lvlJc w:val="left"/>
      <w:pPr>
        <w:tabs>
          <w:tab w:val="num" w:pos="5760"/>
        </w:tabs>
        <w:ind w:left="5400" w:hanging="360"/>
      </w:pPr>
    </w:lvl>
    <w:lvl w:ilvl="8" w:tentative="1">
      <w:start w:val="1"/>
      <w:numFmt w:val="decimal"/>
      <w:lvlText w:val="%9."/>
      <w:lvlJc w:val="left"/>
      <w:pPr>
        <w:tabs>
          <w:tab w:val="num" w:pos="6480"/>
        </w:tabs>
        <w:ind w:left="6120" w:hanging="360"/>
      </w:pPr>
    </w:lvl>
  </w:abstractNum>
  <w:abstractNum w:abstractNumId="275" w15:restartNumberingAfterBreak="0">
    <w:nsid w:val="39756D49"/>
    <w:multiLevelType w:val="multilevel"/>
    <w:tmpl w:val="CC5C8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15:restartNumberingAfterBreak="0">
    <w:nsid w:val="39803079"/>
    <w:multiLevelType w:val="multilevel"/>
    <w:tmpl w:val="8B8E3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98A1F9E"/>
    <w:multiLevelType w:val="multilevel"/>
    <w:tmpl w:val="5BEE3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9FE0615"/>
    <w:multiLevelType w:val="multilevel"/>
    <w:tmpl w:val="1DDE2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15:restartNumberingAfterBreak="0">
    <w:nsid w:val="3A034DA8"/>
    <w:multiLevelType w:val="multilevel"/>
    <w:tmpl w:val="B89A6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0" w15:restartNumberingAfterBreak="0">
    <w:nsid w:val="3A477073"/>
    <w:multiLevelType w:val="multilevel"/>
    <w:tmpl w:val="62F26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3B01510A"/>
    <w:multiLevelType w:val="multilevel"/>
    <w:tmpl w:val="4642C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3B1544E1"/>
    <w:multiLevelType w:val="multilevel"/>
    <w:tmpl w:val="47F4B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3C2A5B7F"/>
    <w:multiLevelType w:val="multilevel"/>
    <w:tmpl w:val="AE1CD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4" w15:restartNumberingAfterBreak="0">
    <w:nsid w:val="3C60715A"/>
    <w:multiLevelType w:val="multilevel"/>
    <w:tmpl w:val="A386C4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3C635496"/>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3C985B86"/>
    <w:multiLevelType w:val="multilevel"/>
    <w:tmpl w:val="B5DA2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3CC809F2"/>
    <w:multiLevelType w:val="multilevel"/>
    <w:tmpl w:val="5BFA1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8" w15:restartNumberingAfterBreak="0">
    <w:nsid w:val="3CCA3F28"/>
    <w:multiLevelType w:val="multilevel"/>
    <w:tmpl w:val="69A67F7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15:restartNumberingAfterBreak="0">
    <w:nsid w:val="3D0D6B6F"/>
    <w:multiLevelType w:val="multilevel"/>
    <w:tmpl w:val="9E1E9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15:restartNumberingAfterBreak="0">
    <w:nsid w:val="3D87147C"/>
    <w:multiLevelType w:val="multilevel"/>
    <w:tmpl w:val="F7200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3DB62363"/>
    <w:multiLevelType w:val="multilevel"/>
    <w:tmpl w:val="73E22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3DB7587B"/>
    <w:multiLevelType w:val="multilevel"/>
    <w:tmpl w:val="62D0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3DC436E5"/>
    <w:multiLevelType w:val="multilevel"/>
    <w:tmpl w:val="624C5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3E3662BD"/>
    <w:multiLevelType w:val="multilevel"/>
    <w:tmpl w:val="4CB2DFC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3ED06C71"/>
    <w:multiLevelType w:val="multilevel"/>
    <w:tmpl w:val="EDCA11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3EEE6BBC"/>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3EFB6C61"/>
    <w:multiLevelType w:val="multilevel"/>
    <w:tmpl w:val="389AC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8" w15:restartNumberingAfterBreak="0">
    <w:nsid w:val="3EFC7CEF"/>
    <w:multiLevelType w:val="multilevel"/>
    <w:tmpl w:val="3B709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15:restartNumberingAfterBreak="0">
    <w:nsid w:val="3F0A1A29"/>
    <w:multiLevelType w:val="multilevel"/>
    <w:tmpl w:val="9A089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3F141B6A"/>
    <w:multiLevelType w:val="multilevel"/>
    <w:tmpl w:val="F2B0E4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15:restartNumberingAfterBreak="0">
    <w:nsid w:val="3F462418"/>
    <w:multiLevelType w:val="multilevel"/>
    <w:tmpl w:val="C1C4F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3F862F13"/>
    <w:multiLevelType w:val="multilevel"/>
    <w:tmpl w:val="5F409A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3F88075A"/>
    <w:multiLevelType w:val="multilevel"/>
    <w:tmpl w:val="8CCAC4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3FE332DA"/>
    <w:multiLevelType w:val="multilevel"/>
    <w:tmpl w:val="2A764C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15:restartNumberingAfterBreak="0">
    <w:nsid w:val="3FE61F88"/>
    <w:multiLevelType w:val="multilevel"/>
    <w:tmpl w:val="D1FAF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6" w15:restartNumberingAfterBreak="0">
    <w:nsid w:val="40094958"/>
    <w:multiLevelType w:val="multilevel"/>
    <w:tmpl w:val="00A89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07F0EA7"/>
    <w:multiLevelType w:val="multilevel"/>
    <w:tmpl w:val="C3808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8" w15:restartNumberingAfterBreak="0">
    <w:nsid w:val="40832CD5"/>
    <w:multiLevelType w:val="multilevel"/>
    <w:tmpl w:val="4BD80FE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9" w15:restartNumberingAfterBreak="0">
    <w:nsid w:val="40F25509"/>
    <w:multiLevelType w:val="multilevel"/>
    <w:tmpl w:val="F04E8E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15:restartNumberingAfterBreak="0">
    <w:nsid w:val="40F66A03"/>
    <w:multiLevelType w:val="multilevel"/>
    <w:tmpl w:val="65641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41006B6F"/>
    <w:multiLevelType w:val="multilevel"/>
    <w:tmpl w:val="A88C9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418016C1"/>
    <w:multiLevelType w:val="multilevel"/>
    <w:tmpl w:val="1EC4B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419C5027"/>
    <w:multiLevelType w:val="multilevel"/>
    <w:tmpl w:val="7C58CF0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4" w15:restartNumberingAfterBreak="0">
    <w:nsid w:val="41A40383"/>
    <w:multiLevelType w:val="multilevel"/>
    <w:tmpl w:val="EEC6D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41CF6C5F"/>
    <w:multiLevelType w:val="multilevel"/>
    <w:tmpl w:val="85B2A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41E95746"/>
    <w:multiLevelType w:val="multilevel"/>
    <w:tmpl w:val="DC564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42115B16"/>
    <w:multiLevelType w:val="multilevel"/>
    <w:tmpl w:val="50F67B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425457D5"/>
    <w:multiLevelType w:val="multilevel"/>
    <w:tmpl w:val="8A18610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4258653A"/>
    <w:multiLevelType w:val="multilevel"/>
    <w:tmpl w:val="7E420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0" w15:restartNumberingAfterBreak="0">
    <w:nsid w:val="428825FC"/>
    <w:multiLevelType w:val="multilevel"/>
    <w:tmpl w:val="FB8E1D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15:restartNumberingAfterBreak="0">
    <w:nsid w:val="42D65EE9"/>
    <w:multiLevelType w:val="multilevel"/>
    <w:tmpl w:val="C8620D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2" w15:restartNumberingAfterBreak="0">
    <w:nsid w:val="42E75CC7"/>
    <w:multiLevelType w:val="multilevel"/>
    <w:tmpl w:val="EBE68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42F32C0B"/>
    <w:multiLevelType w:val="multilevel"/>
    <w:tmpl w:val="CE10C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432649B6"/>
    <w:multiLevelType w:val="multilevel"/>
    <w:tmpl w:val="1B26E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43955B46"/>
    <w:multiLevelType w:val="multilevel"/>
    <w:tmpl w:val="B400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6" w15:restartNumberingAfterBreak="0">
    <w:nsid w:val="43CA4EAB"/>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43DC03B5"/>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43E600CE"/>
    <w:multiLevelType w:val="multilevel"/>
    <w:tmpl w:val="37423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9" w15:restartNumberingAfterBreak="0">
    <w:nsid w:val="44344EAE"/>
    <w:multiLevelType w:val="multilevel"/>
    <w:tmpl w:val="81C00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44A248EE"/>
    <w:multiLevelType w:val="multilevel"/>
    <w:tmpl w:val="2794E2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45226081"/>
    <w:multiLevelType w:val="multilevel"/>
    <w:tmpl w:val="F23A5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452D0C0F"/>
    <w:multiLevelType w:val="multilevel"/>
    <w:tmpl w:val="76C01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45EB0F9E"/>
    <w:multiLevelType w:val="multilevel"/>
    <w:tmpl w:val="CA64F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4" w15:restartNumberingAfterBreak="0">
    <w:nsid w:val="461E3A1D"/>
    <w:multiLevelType w:val="multilevel"/>
    <w:tmpl w:val="691A8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469D2E61"/>
    <w:multiLevelType w:val="multilevel"/>
    <w:tmpl w:val="E7E254BE"/>
    <w:lvl w:ilvl="0">
      <w:start w:val="3"/>
      <w:numFmt w:val="decimal"/>
      <w:lvlText w:val="%1."/>
      <w:lvlJc w:val="left"/>
      <w:pPr>
        <w:tabs>
          <w:tab w:val="num" w:pos="720"/>
        </w:tabs>
        <w:ind w:left="360" w:hanging="360"/>
      </w:pPr>
    </w:lvl>
    <w:lvl w:ilvl="1" w:tentative="1">
      <w:start w:val="1"/>
      <w:numFmt w:val="decimal"/>
      <w:lvlText w:val="%2."/>
      <w:lvlJc w:val="left"/>
      <w:pPr>
        <w:tabs>
          <w:tab w:val="num" w:pos="1440"/>
        </w:tabs>
        <w:ind w:left="1080" w:hanging="360"/>
      </w:pPr>
    </w:lvl>
    <w:lvl w:ilvl="2" w:tentative="1">
      <w:start w:val="1"/>
      <w:numFmt w:val="decimal"/>
      <w:lvlText w:val="%3."/>
      <w:lvlJc w:val="left"/>
      <w:pPr>
        <w:tabs>
          <w:tab w:val="num" w:pos="2160"/>
        </w:tabs>
        <w:ind w:left="1800" w:hanging="360"/>
      </w:pPr>
    </w:lvl>
    <w:lvl w:ilvl="3" w:tentative="1">
      <w:start w:val="1"/>
      <w:numFmt w:val="decimal"/>
      <w:lvlText w:val="%4."/>
      <w:lvlJc w:val="left"/>
      <w:pPr>
        <w:tabs>
          <w:tab w:val="num" w:pos="2880"/>
        </w:tabs>
        <w:ind w:left="2520" w:hanging="360"/>
      </w:pPr>
    </w:lvl>
    <w:lvl w:ilvl="4" w:tentative="1">
      <w:start w:val="1"/>
      <w:numFmt w:val="decimal"/>
      <w:lvlText w:val="%5."/>
      <w:lvlJc w:val="left"/>
      <w:pPr>
        <w:tabs>
          <w:tab w:val="num" w:pos="3600"/>
        </w:tabs>
        <w:ind w:left="3240" w:hanging="360"/>
      </w:pPr>
    </w:lvl>
    <w:lvl w:ilvl="5" w:tentative="1">
      <w:start w:val="1"/>
      <w:numFmt w:val="decimal"/>
      <w:lvlText w:val="%6."/>
      <w:lvlJc w:val="left"/>
      <w:pPr>
        <w:tabs>
          <w:tab w:val="num" w:pos="4320"/>
        </w:tabs>
        <w:ind w:left="3960" w:hanging="360"/>
      </w:pPr>
    </w:lvl>
    <w:lvl w:ilvl="6" w:tentative="1">
      <w:start w:val="1"/>
      <w:numFmt w:val="decimal"/>
      <w:lvlText w:val="%7."/>
      <w:lvlJc w:val="left"/>
      <w:pPr>
        <w:tabs>
          <w:tab w:val="num" w:pos="5040"/>
        </w:tabs>
        <w:ind w:left="4680" w:hanging="360"/>
      </w:pPr>
    </w:lvl>
    <w:lvl w:ilvl="7" w:tentative="1">
      <w:start w:val="1"/>
      <w:numFmt w:val="decimal"/>
      <w:lvlText w:val="%8."/>
      <w:lvlJc w:val="left"/>
      <w:pPr>
        <w:tabs>
          <w:tab w:val="num" w:pos="5760"/>
        </w:tabs>
        <w:ind w:left="5400" w:hanging="360"/>
      </w:pPr>
    </w:lvl>
    <w:lvl w:ilvl="8" w:tentative="1">
      <w:start w:val="1"/>
      <w:numFmt w:val="decimal"/>
      <w:lvlText w:val="%9."/>
      <w:lvlJc w:val="left"/>
      <w:pPr>
        <w:tabs>
          <w:tab w:val="num" w:pos="6480"/>
        </w:tabs>
        <w:ind w:left="6120" w:hanging="360"/>
      </w:pPr>
    </w:lvl>
  </w:abstractNum>
  <w:abstractNum w:abstractNumId="336" w15:restartNumberingAfterBreak="0">
    <w:nsid w:val="470A1518"/>
    <w:multiLevelType w:val="multilevel"/>
    <w:tmpl w:val="FC781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472943AE"/>
    <w:multiLevelType w:val="multilevel"/>
    <w:tmpl w:val="655C01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15:restartNumberingAfterBreak="0">
    <w:nsid w:val="47787959"/>
    <w:multiLevelType w:val="multilevel"/>
    <w:tmpl w:val="1A5EE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47E56237"/>
    <w:multiLevelType w:val="multilevel"/>
    <w:tmpl w:val="360841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15:restartNumberingAfterBreak="0">
    <w:nsid w:val="47F41F74"/>
    <w:multiLevelType w:val="multilevel"/>
    <w:tmpl w:val="D82243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15:restartNumberingAfterBreak="0">
    <w:nsid w:val="48065A09"/>
    <w:multiLevelType w:val="multilevel"/>
    <w:tmpl w:val="A33A5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480B1A13"/>
    <w:multiLevelType w:val="multilevel"/>
    <w:tmpl w:val="04C8B54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3" w15:restartNumberingAfterBreak="0">
    <w:nsid w:val="482E3F04"/>
    <w:multiLevelType w:val="multilevel"/>
    <w:tmpl w:val="782E1B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4" w15:restartNumberingAfterBreak="0">
    <w:nsid w:val="484421D3"/>
    <w:multiLevelType w:val="multilevel"/>
    <w:tmpl w:val="C84242F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5" w15:restartNumberingAfterBreak="0">
    <w:nsid w:val="48A23B80"/>
    <w:multiLevelType w:val="multilevel"/>
    <w:tmpl w:val="D4729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48C44BEC"/>
    <w:multiLevelType w:val="multilevel"/>
    <w:tmpl w:val="B3E84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498E180D"/>
    <w:multiLevelType w:val="multilevel"/>
    <w:tmpl w:val="9E6E79D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heme="minorEastAsia" w:hAnsi="Calibri" w:cs="Calibr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49C70BA9"/>
    <w:multiLevelType w:val="multilevel"/>
    <w:tmpl w:val="10E45EC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9" w15:restartNumberingAfterBreak="0">
    <w:nsid w:val="49C9594E"/>
    <w:multiLevelType w:val="multilevel"/>
    <w:tmpl w:val="94DC4D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15:restartNumberingAfterBreak="0">
    <w:nsid w:val="49D70FE9"/>
    <w:multiLevelType w:val="multilevel"/>
    <w:tmpl w:val="14765E1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15:restartNumberingAfterBreak="0">
    <w:nsid w:val="4A1D0535"/>
    <w:multiLevelType w:val="multilevel"/>
    <w:tmpl w:val="03D67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2" w15:restartNumberingAfterBreak="0">
    <w:nsid w:val="4A253B76"/>
    <w:multiLevelType w:val="multilevel"/>
    <w:tmpl w:val="D3C4B8C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15:restartNumberingAfterBreak="0">
    <w:nsid w:val="4AE27C7E"/>
    <w:multiLevelType w:val="multilevel"/>
    <w:tmpl w:val="7444C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4AF721D1"/>
    <w:multiLevelType w:val="multilevel"/>
    <w:tmpl w:val="1D48C08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15:restartNumberingAfterBreak="0">
    <w:nsid w:val="4B041FB1"/>
    <w:multiLevelType w:val="multilevel"/>
    <w:tmpl w:val="EBE07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6" w15:restartNumberingAfterBreak="0">
    <w:nsid w:val="4B0A7406"/>
    <w:multiLevelType w:val="multilevel"/>
    <w:tmpl w:val="A4060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7" w15:restartNumberingAfterBreak="0">
    <w:nsid w:val="4B29203C"/>
    <w:multiLevelType w:val="multilevel"/>
    <w:tmpl w:val="CA107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4B640008"/>
    <w:multiLevelType w:val="multilevel"/>
    <w:tmpl w:val="A58A509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15:restartNumberingAfterBreak="0">
    <w:nsid w:val="4B6A5E00"/>
    <w:multiLevelType w:val="multilevel"/>
    <w:tmpl w:val="F174B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15:restartNumberingAfterBreak="0">
    <w:nsid w:val="4B7105F4"/>
    <w:multiLevelType w:val="multilevel"/>
    <w:tmpl w:val="28247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4BF3796D"/>
    <w:multiLevelType w:val="multilevel"/>
    <w:tmpl w:val="2A324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4C231699"/>
    <w:multiLevelType w:val="multilevel"/>
    <w:tmpl w:val="3B84A34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3" w15:restartNumberingAfterBreak="0">
    <w:nsid w:val="4C25767D"/>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4C2E51D3"/>
    <w:multiLevelType w:val="multilevel"/>
    <w:tmpl w:val="8408B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15:restartNumberingAfterBreak="0">
    <w:nsid w:val="4C313E03"/>
    <w:multiLevelType w:val="multilevel"/>
    <w:tmpl w:val="56B6E0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15:restartNumberingAfterBreak="0">
    <w:nsid w:val="4C521D40"/>
    <w:multiLevelType w:val="multilevel"/>
    <w:tmpl w:val="BEDED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7" w15:restartNumberingAfterBreak="0">
    <w:nsid w:val="4CD55AC5"/>
    <w:multiLevelType w:val="multilevel"/>
    <w:tmpl w:val="EC62302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8" w15:restartNumberingAfterBreak="0">
    <w:nsid w:val="4CEF416C"/>
    <w:multiLevelType w:val="multilevel"/>
    <w:tmpl w:val="312E2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9" w15:restartNumberingAfterBreak="0">
    <w:nsid w:val="4D161C6C"/>
    <w:multiLevelType w:val="multilevel"/>
    <w:tmpl w:val="0632E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0" w15:restartNumberingAfterBreak="0">
    <w:nsid w:val="4D3E7932"/>
    <w:multiLevelType w:val="multilevel"/>
    <w:tmpl w:val="9ACCE9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4D5A2803"/>
    <w:multiLevelType w:val="multilevel"/>
    <w:tmpl w:val="5A1C5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15:restartNumberingAfterBreak="0">
    <w:nsid w:val="4D97624D"/>
    <w:multiLevelType w:val="multilevel"/>
    <w:tmpl w:val="BAB2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15:restartNumberingAfterBreak="0">
    <w:nsid w:val="4E125BD0"/>
    <w:multiLevelType w:val="multilevel"/>
    <w:tmpl w:val="2CAAB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4E3A55CF"/>
    <w:multiLevelType w:val="multilevel"/>
    <w:tmpl w:val="69E852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5" w15:restartNumberingAfterBreak="0">
    <w:nsid w:val="4E817693"/>
    <w:multiLevelType w:val="multilevel"/>
    <w:tmpl w:val="913C1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4F0E1885"/>
    <w:multiLevelType w:val="multilevel"/>
    <w:tmpl w:val="9C200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7" w15:restartNumberingAfterBreak="0">
    <w:nsid w:val="4F36013F"/>
    <w:multiLevelType w:val="multilevel"/>
    <w:tmpl w:val="F8EC1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15:restartNumberingAfterBreak="0">
    <w:nsid w:val="4F745319"/>
    <w:multiLevelType w:val="multilevel"/>
    <w:tmpl w:val="48E87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9" w15:restartNumberingAfterBreak="0">
    <w:nsid w:val="4FC75832"/>
    <w:multiLevelType w:val="multilevel"/>
    <w:tmpl w:val="5A284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4FCE66F2"/>
    <w:multiLevelType w:val="multilevel"/>
    <w:tmpl w:val="603C3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4FD9729B"/>
    <w:multiLevelType w:val="hybridMultilevel"/>
    <w:tmpl w:val="F2E6F0D6"/>
    <w:lvl w:ilvl="0" w:tplc="DC96EE8A">
      <w:start w:val="1"/>
      <w:numFmt w:val="bullet"/>
      <w:lvlText w:val=""/>
      <w:lvlJc w:val="left"/>
      <w:pPr>
        <w:tabs>
          <w:tab w:val="num" w:pos="720"/>
        </w:tabs>
        <w:ind w:left="720" w:hanging="360"/>
      </w:pPr>
      <w:rPr>
        <w:rFonts w:ascii="Symbol" w:hAnsi="Symbol" w:hint="default"/>
        <w:sz w:val="20"/>
      </w:rPr>
    </w:lvl>
    <w:lvl w:ilvl="1" w:tplc="C8643434">
      <w:start w:val="14"/>
      <w:numFmt w:val="bullet"/>
      <w:lvlText w:val="o"/>
      <w:lvlJc w:val="left"/>
      <w:pPr>
        <w:tabs>
          <w:tab w:val="num" w:pos="1440"/>
        </w:tabs>
        <w:ind w:left="1440" w:hanging="360"/>
      </w:pPr>
      <w:rPr>
        <w:rFonts w:ascii="Courier New" w:hAnsi="Courier New" w:hint="default"/>
        <w:sz w:val="20"/>
      </w:rPr>
    </w:lvl>
    <w:lvl w:ilvl="2" w:tplc="0FEE6592">
      <w:start w:val="1"/>
      <w:numFmt w:val="bullet"/>
      <w:lvlText w:val=""/>
      <w:lvlJc w:val="left"/>
      <w:pPr>
        <w:tabs>
          <w:tab w:val="num" w:pos="2160"/>
        </w:tabs>
        <w:ind w:left="2160" w:hanging="360"/>
      </w:pPr>
      <w:rPr>
        <w:rFonts w:ascii="Wingdings" w:hAnsi="Wingdings" w:hint="default"/>
        <w:sz w:val="20"/>
      </w:rPr>
    </w:lvl>
    <w:lvl w:ilvl="3" w:tplc="02A2671C" w:tentative="1">
      <w:start w:val="1"/>
      <w:numFmt w:val="bullet"/>
      <w:lvlText w:val=""/>
      <w:lvlJc w:val="left"/>
      <w:pPr>
        <w:tabs>
          <w:tab w:val="num" w:pos="2880"/>
        </w:tabs>
        <w:ind w:left="2880" w:hanging="360"/>
      </w:pPr>
      <w:rPr>
        <w:rFonts w:ascii="Wingdings" w:hAnsi="Wingdings" w:hint="default"/>
        <w:sz w:val="20"/>
      </w:rPr>
    </w:lvl>
    <w:lvl w:ilvl="4" w:tplc="3CF4C878" w:tentative="1">
      <w:start w:val="1"/>
      <w:numFmt w:val="bullet"/>
      <w:lvlText w:val=""/>
      <w:lvlJc w:val="left"/>
      <w:pPr>
        <w:tabs>
          <w:tab w:val="num" w:pos="3600"/>
        </w:tabs>
        <w:ind w:left="3600" w:hanging="360"/>
      </w:pPr>
      <w:rPr>
        <w:rFonts w:ascii="Wingdings" w:hAnsi="Wingdings" w:hint="default"/>
        <w:sz w:val="20"/>
      </w:rPr>
    </w:lvl>
    <w:lvl w:ilvl="5" w:tplc="29226A92" w:tentative="1">
      <w:start w:val="1"/>
      <w:numFmt w:val="bullet"/>
      <w:lvlText w:val=""/>
      <w:lvlJc w:val="left"/>
      <w:pPr>
        <w:tabs>
          <w:tab w:val="num" w:pos="4320"/>
        </w:tabs>
        <w:ind w:left="4320" w:hanging="360"/>
      </w:pPr>
      <w:rPr>
        <w:rFonts w:ascii="Wingdings" w:hAnsi="Wingdings" w:hint="default"/>
        <w:sz w:val="20"/>
      </w:rPr>
    </w:lvl>
    <w:lvl w:ilvl="6" w:tplc="03C4E168" w:tentative="1">
      <w:start w:val="1"/>
      <w:numFmt w:val="bullet"/>
      <w:lvlText w:val=""/>
      <w:lvlJc w:val="left"/>
      <w:pPr>
        <w:tabs>
          <w:tab w:val="num" w:pos="5040"/>
        </w:tabs>
        <w:ind w:left="5040" w:hanging="360"/>
      </w:pPr>
      <w:rPr>
        <w:rFonts w:ascii="Wingdings" w:hAnsi="Wingdings" w:hint="default"/>
        <w:sz w:val="20"/>
      </w:rPr>
    </w:lvl>
    <w:lvl w:ilvl="7" w:tplc="FE92D03A" w:tentative="1">
      <w:start w:val="1"/>
      <w:numFmt w:val="bullet"/>
      <w:lvlText w:val=""/>
      <w:lvlJc w:val="left"/>
      <w:pPr>
        <w:tabs>
          <w:tab w:val="num" w:pos="5760"/>
        </w:tabs>
        <w:ind w:left="5760" w:hanging="360"/>
      </w:pPr>
      <w:rPr>
        <w:rFonts w:ascii="Wingdings" w:hAnsi="Wingdings" w:hint="default"/>
        <w:sz w:val="20"/>
      </w:rPr>
    </w:lvl>
    <w:lvl w:ilvl="8" w:tplc="C19CF144"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4FDD209F"/>
    <w:multiLevelType w:val="multilevel"/>
    <w:tmpl w:val="68EA6C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3" w15:restartNumberingAfterBreak="0">
    <w:nsid w:val="503E1BD5"/>
    <w:multiLevelType w:val="multilevel"/>
    <w:tmpl w:val="D7F0C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50C72486"/>
    <w:multiLevelType w:val="multilevel"/>
    <w:tmpl w:val="A08A6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51236996"/>
    <w:multiLevelType w:val="multilevel"/>
    <w:tmpl w:val="F3C8D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514451AB"/>
    <w:multiLevelType w:val="multilevel"/>
    <w:tmpl w:val="99FCF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514A485F"/>
    <w:multiLevelType w:val="multilevel"/>
    <w:tmpl w:val="43989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516A1247"/>
    <w:multiLevelType w:val="multilevel"/>
    <w:tmpl w:val="A54AA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51882309"/>
    <w:multiLevelType w:val="multilevel"/>
    <w:tmpl w:val="81005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519E66FB"/>
    <w:multiLevelType w:val="multilevel"/>
    <w:tmpl w:val="CD6EA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51E21BD2"/>
    <w:multiLevelType w:val="multilevel"/>
    <w:tmpl w:val="E9723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51EF0B61"/>
    <w:multiLevelType w:val="multilevel"/>
    <w:tmpl w:val="76DAE6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15:restartNumberingAfterBreak="0">
    <w:nsid w:val="520B34EB"/>
    <w:multiLevelType w:val="multilevel"/>
    <w:tmpl w:val="B4AA6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521709C4"/>
    <w:multiLevelType w:val="multilevel"/>
    <w:tmpl w:val="8A6232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5" w15:restartNumberingAfterBreak="0">
    <w:nsid w:val="52316EBC"/>
    <w:multiLevelType w:val="multilevel"/>
    <w:tmpl w:val="C25A8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6" w15:restartNumberingAfterBreak="0">
    <w:nsid w:val="5245696E"/>
    <w:multiLevelType w:val="multilevel"/>
    <w:tmpl w:val="D4E882E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524723B6"/>
    <w:multiLevelType w:val="multilevel"/>
    <w:tmpl w:val="6276DC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8" w15:restartNumberingAfterBreak="0">
    <w:nsid w:val="525127D6"/>
    <w:multiLevelType w:val="multilevel"/>
    <w:tmpl w:val="FD184DB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9" w15:restartNumberingAfterBreak="0">
    <w:nsid w:val="5277553C"/>
    <w:multiLevelType w:val="multilevel"/>
    <w:tmpl w:val="718A5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52857A80"/>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52F840FB"/>
    <w:multiLevelType w:val="multilevel"/>
    <w:tmpl w:val="59429F9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15:restartNumberingAfterBreak="0">
    <w:nsid w:val="53871E3C"/>
    <w:multiLevelType w:val="multilevel"/>
    <w:tmpl w:val="453EE0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3" w15:restartNumberingAfterBreak="0">
    <w:nsid w:val="53A0588D"/>
    <w:multiLevelType w:val="multilevel"/>
    <w:tmpl w:val="C5BA110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4" w15:restartNumberingAfterBreak="0">
    <w:nsid w:val="53BE66EA"/>
    <w:multiLevelType w:val="multilevel"/>
    <w:tmpl w:val="EED02E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5" w15:restartNumberingAfterBreak="0">
    <w:nsid w:val="53E66CDE"/>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5402195F"/>
    <w:multiLevelType w:val="multilevel"/>
    <w:tmpl w:val="23B072D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7" w15:restartNumberingAfterBreak="0">
    <w:nsid w:val="54145702"/>
    <w:multiLevelType w:val="multilevel"/>
    <w:tmpl w:val="6C44C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8" w15:restartNumberingAfterBreak="0">
    <w:nsid w:val="544D576A"/>
    <w:multiLevelType w:val="multilevel"/>
    <w:tmpl w:val="913EA300"/>
    <w:lvl w:ilvl="0">
      <w:start w:val="5"/>
      <w:numFmt w:val="decimal"/>
      <w:lvlText w:val="%1"/>
      <w:lvlJc w:val="left"/>
      <w:pPr>
        <w:ind w:left="375" w:hanging="375"/>
      </w:pPr>
      <w:rPr>
        <w:rFonts w:hint="default"/>
        <w:sz w:val="27"/>
      </w:rPr>
    </w:lvl>
    <w:lvl w:ilvl="1">
      <w:start w:val="4"/>
      <w:numFmt w:val="decimal"/>
      <w:lvlText w:val="%1.%2"/>
      <w:lvlJc w:val="left"/>
      <w:pPr>
        <w:ind w:left="375" w:hanging="375"/>
      </w:pPr>
      <w:rPr>
        <w:rFonts w:hint="default"/>
        <w:sz w:val="27"/>
      </w:rPr>
    </w:lvl>
    <w:lvl w:ilvl="2">
      <w:start w:val="1"/>
      <w:numFmt w:val="decimal"/>
      <w:lvlText w:val="%1.%2.%3"/>
      <w:lvlJc w:val="left"/>
      <w:pPr>
        <w:ind w:left="720" w:hanging="720"/>
      </w:pPr>
      <w:rPr>
        <w:rFonts w:hint="default"/>
        <w:sz w:val="27"/>
      </w:rPr>
    </w:lvl>
    <w:lvl w:ilvl="3">
      <w:start w:val="1"/>
      <w:numFmt w:val="decimal"/>
      <w:lvlText w:val="%1.%2.%3.%4"/>
      <w:lvlJc w:val="left"/>
      <w:pPr>
        <w:ind w:left="720" w:hanging="720"/>
      </w:pPr>
      <w:rPr>
        <w:rFonts w:hint="default"/>
        <w:sz w:val="27"/>
      </w:rPr>
    </w:lvl>
    <w:lvl w:ilvl="4">
      <w:start w:val="1"/>
      <w:numFmt w:val="decimal"/>
      <w:lvlText w:val="%1.%2.%3.%4.%5"/>
      <w:lvlJc w:val="left"/>
      <w:pPr>
        <w:ind w:left="1080" w:hanging="1080"/>
      </w:pPr>
      <w:rPr>
        <w:rFonts w:hint="default"/>
        <w:sz w:val="27"/>
      </w:rPr>
    </w:lvl>
    <w:lvl w:ilvl="5">
      <w:start w:val="1"/>
      <w:numFmt w:val="decimal"/>
      <w:lvlText w:val="%1.%2.%3.%4.%5.%6"/>
      <w:lvlJc w:val="left"/>
      <w:pPr>
        <w:ind w:left="1080" w:hanging="1080"/>
      </w:pPr>
      <w:rPr>
        <w:rFonts w:hint="default"/>
        <w:sz w:val="27"/>
      </w:rPr>
    </w:lvl>
    <w:lvl w:ilvl="6">
      <w:start w:val="1"/>
      <w:numFmt w:val="decimal"/>
      <w:lvlText w:val="%1.%2.%3.%4.%5.%6.%7"/>
      <w:lvlJc w:val="left"/>
      <w:pPr>
        <w:ind w:left="1440" w:hanging="1440"/>
      </w:pPr>
      <w:rPr>
        <w:rFonts w:hint="default"/>
        <w:sz w:val="27"/>
      </w:rPr>
    </w:lvl>
    <w:lvl w:ilvl="7">
      <w:start w:val="1"/>
      <w:numFmt w:val="decimal"/>
      <w:lvlText w:val="%1.%2.%3.%4.%5.%6.%7.%8"/>
      <w:lvlJc w:val="left"/>
      <w:pPr>
        <w:ind w:left="1440" w:hanging="1440"/>
      </w:pPr>
      <w:rPr>
        <w:rFonts w:hint="default"/>
        <w:sz w:val="27"/>
      </w:rPr>
    </w:lvl>
    <w:lvl w:ilvl="8">
      <w:start w:val="1"/>
      <w:numFmt w:val="decimal"/>
      <w:lvlText w:val="%1.%2.%3.%4.%5.%6.%7.%8.%9"/>
      <w:lvlJc w:val="left"/>
      <w:pPr>
        <w:ind w:left="1800" w:hanging="1800"/>
      </w:pPr>
      <w:rPr>
        <w:rFonts w:hint="default"/>
        <w:sz w:val="27"/>
      </w:rPr>
    </w:lvl>
  </w:abstractNum>
  <w:abstractNum w:abstractNumId="409" w15:restartNumberingAfterBreak="0">
    <w:nsid w:val="545454BD"/>
    <w:multiLevelType w:val="multilevel"/>
    <w:tmpl w:val="5FBC2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0" w15:restartNumberingAfterBreak="0">
    <w:nsid w:val="54A16855"/>
    <w:multiLevelType w:val="multilevel"/>
    <w:tmpl w:val="9D5EA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55057AAA"/>
    <w:multiLevelType w:val="multilevel"/>
    <w:tmpl w:val="2E42E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2" w15:restartNumberingAfterBreak="0">
    <w:nsid w:val="551014F9"/>
    <w:multiLevelType w:val="multilevel"/>
    <w:tmpl w:val="AACAB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3" w15:restartNumberingAfterBreak="0">
    <w:nsid w:val="553F127C"/>
    <w:multiLevelType w:val="multilevel"/>
    <w:tmpl w:val="A2D07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4" w15:restartNumberingAfterBreak="0">
    <w:nsid w:val="555608AB"/>
    <w:multiLevelType w:val="multilevel"/>
    <w:tmpl w:val="7F36E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559328DD"/>
    <w:multiLevelType w:val="multilevel"/>
    <w:tmpl w:val="E2602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6" w15:restartNumberingAfterBreak="0">
    <w:nsid w:val="55B12E34"/>
    <w:multiLevelType w:val="multilevel"/>
    <w:tmpl w:val="90627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56071C18"/>
    <w:multiLevelType w:val="multilevel"/>
    <w:tmpl w:val="195A0B5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8" w15:restartNumberingAfterBreak="0">
    <w:nsid w:val="56AD78AF"/>
    <w:multiLevelType w:val="multilevel"/>
    <w:tmpl w:val="346807E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9" w15:restartNumberingAfterBreak="0">
    <w:nsid w:val="56E27243"/>
    <w:multiLevelType w:val="multilevel"/>
    <w:tmpl w:val="7A50D5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0" w15:restartNumberingAfterBreak="0">
    <w:nsid w:val="57E11A72"/>
    <w:multiLevelType w:val="multilevel"/>
    <w:tmpl w:val="9DA405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1" w15:restartNumberingAfterBreak="0">
    <w:nsid w:val="57F06859"/>
    <w:multiLevelType w:val="multilevel"/>
    <w:tmpl w:val="DCA066A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2" w15:restartNumberingAfterBreak="0">
    <w:nsid w:val="582C66C2"/>
    <w:multiLevelType w:val="multilevel"/>
    <w:tmpl w:val="C1AC584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15:restartNumberingAfterBreak="0">
    <w:nsid w:val="58626C4E"/>
    <w:multiLevelType w:val="multilevel"/>
    <w:tmpl w:val="7E6C9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58D36F91"/>
    <w:multiLevelType w:val="multilevel"/>
    <w:tmpl w:val="B9E4F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5" w15:restartNumberingAfterBreak="0">
    <w:nsid w:val="58DA5A1D"/>
    <w:multiLevelType w:val="multilevel"/>
    <w:tmpl w:val="BB206A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6" w15:restartNumberingAfterBreak="0">
    <w:nsid w:val="58E04E45"/>
    <w:multiLevelType w:val="multilevel"/>
    <w:tmpl w:val="FF84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59B07B16"/>
    <w:multiLevelType w:val="multilevel"/>
    <w:tmpl w:val="B38A3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8" w15:restartNumberingAfterBreak="0">
    <w:nsid w:val="59D507A9"/>
    <w:multiLevelType w:val="multilevel"/>
    <w:tmpl w:val="FEB64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5A467A46"/>
    <w:multiLevelType w:val="multilevel"/>
    <w:tmpl w:val="2F66C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5A787AF1"/>
    <w:multiLevelType w:val="multilevel"/>
    <w:tmpl w:val="7A103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1" w15:restartNumberingAfterBreak="0">
    <w:nsid w:val="5A8C6EDD"/>
    <w:multiLevelType w:val="multilevel"/>
    <w:tmpl w:val="E384E8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2" w15:restartNumberingAfterBreak="0">
    <w:nsid w:val="5B6E4948"/>
    <w:multiLevelType w:val="multilevel"/>
    <w:tmpl w:val="015A2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3" w15:restartNumberingAfterBreak="0">
    <w:nsid w:val="5B9B0035"/>
    <w:multiLevelType w:val="multilevel"/>
    <w:tmpl w:val="1C8EB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4" w15:restartNumberingAfterBreak="0">
    <w:nsid w:val="5BF46259"/>
    <w:multiLevelType w:val="multilevel"/>
    <w:tmpl w:val="5EB6D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5" w15:restartNumberingAfterBreak="0">
    <w:nsid w:val="5C5A2A88"/>
    <w:multiLevelType w:val="multilevel"/>
    <w:tmpl w:val="E1B0A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5C865739"/>
    <w:multiLevelType w:val="multilevel"/>
    <w:tmpl w:val="FE5A6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15:restartNumberingAfterBreak="0">
    <w:nsid w:val="5CFE5040"/>
    <w:multiLevelType w:val="multilevel"/>
    <w:tmpl w:val="C1E02B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8" w15:restartNumberingAfterBreak="0">
    <w:nsid w:val="5D04284E"/>
    <w:multiLevelType w:val="multilevel"/>
    <w:tmpl w:val="DA6E4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9" w15:restartNumberingAfterBreak="0">
    <w:nsid w:val="5D0C575F"/>
    <w:multiLevelType w:val="multilevel"/>
    <w:tmpl w:val="4EB00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5D543134"/>
    <w:multiLevelType w:val="multilevel"/>
    <w:tmpl w:val="CC50B3D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15:restartNumberingAfterBreak="0">
    <w:nsid w:val="5DE31F66"/>
    <w:multiLevelType w:val="multilevel"/>
    <w:tmpl w:val="9C980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2" w15:restartNumberingAfterBreak="0">
    <w:nsid w:val="5E4F4CC3"/>
    <w:multiLevelType w:val="multilevel"/>
    <w:tmpl w:val="42869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5E884D9B"/>
    <w:multiLevelType w:val="multilevel"/>
    <w:tmpl w:val="E4149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5E8C736E"/>
    <w:multiLevelType w:val="multilevel"/>
    <w:tmpl w:val="0C86E8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5" w15:restartNumberingAfterBreak="0">
    <w:nsid w:val="5E953C3B"/>
    <w:multiLevelType w:val="multilevel"/>
    <w:tmpl w:val="CF9AD1B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6" w15:restartNumberingAfterBreak="0">
    <w:nsid w:val="5EA35348"/>
    <w:multiLevelType w:val="multilevel"/>
    <w:tmpl w:val="6124171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7" w15:restartNumberingAfterBreak="0">
    <w:nsid w:val="5EE06F06"/>
    <w:multiLevelType w:val="multilevel"/>
    <w:tmpl w:val="3210E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5EF101ED"/>
    <w:multiLevelType w:val="multilevel"/>
    <w:tmpl w:val="2384E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9" w15:restartNumberingAfterBreak="0">
    <w:nsid w:val="5FA34A09"/>
    <w:multiLevelType w:val="multilevel"/>
    <w:tmpl w:val="FE801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5FB9131B"/>
    <w:multiLevelType w:val="multilevel"/>
    <w:tmpl w:val="5588C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1" w15:restartNumberingAfterBreak="0">
    <w:nsid w:val="60403305"/>
    <w:multiLevelType w:val="multilevel"/>
    <w:tmpl w:val="05EA4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609C0489"/>
    <w:multiLevelType w:val="multilevel"/>
    <w:tmpl w:val="31643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3" w15:restartNumberingAfterBreak="0">
    <w:nsid w:val="60AD1207"/>
    <w:multiLevelType w:val="multilevel"/>
    <w:tmpl w:val="77B4B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4" w15:restartNumberingAfterBreak="0">
    <w:nsid w:val="61042E44"/>
    <w:multiLevelType w:val="multilevel"/>
    <w:tmpl w:val="33467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61094FE9"/>
    <w:multiLevelType w:val="multilevel"/>
    <w:tmpl w:val="AD60B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610E2D5A"/>
    <w:multiLevelType w:val="multilevel"/>
    <w:tmpl w:val="48C06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7" w15:restartNumberingAfterBreak="0">
    <w:nsid w:val="61A70898"/>
    <w:multiLevelType w:val="multilevel"/>
    <w:tmpl w:val="DBC837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8" w15:restartNumberingAfterBreak="0">
    <w:nsid w:val="61C10361"/>
    <w:multiLevelType w:val="multilevel"/>
    <w:tmpl w:val="870AF73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9" w15:restartNumberingAfterBreak="0">
    <w:nsid w:val="62343520"/>
    <w:multiLevelType w:val="multilevel"/>
    <w:tmpl w:val="6F36D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0" w15:restartNumberingAfterBreak="0">
    <w:nsid w:val="63335D6E"/>
    <w:multiLevelType w:val="multilevel"/>
    <w:tmpl w:val="1B026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1" w15:restartNumberingAfterBreak="0">
    <w:nsid w:val="634358EA"/>
    <w:multiLevelType w:val="multilevel"/>
    <w:tmpl w:val="BA863A3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2" w15:restartNumberingAfterBreak="0">
    <w:nsid w:val="634C367D"/>
    <w:multiLevelType w:val="multilevel"/>
    <w:tmpl w:val="2DB6F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63894715"/>
    <w:multiLevelType w:val="multilevel"/>
    <w:tmpl w:val="7B8AF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4" w15:restartNumberingAfterBreak="0">
    <w:nsid w:val="639D5112"/>
    <w:multiLevelType w:val="multilevel"/>
    <w:tmpl w:val="BB40F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63CF5583"/>
    <w:multiLevelType w:val="multilevel"/>
    <w:tmpl w:val="7CF42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6" w15:restartNumberingAfterBreak="0">
    <w:nsid w:val="63F85DE7"/>
    <w:multiLevelType w:val="multilevel"/>
    <w:tmpl w:val="6E02A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64044695"/>
    <w:multiLevelType w:val="multilevel"/>
    <w:tmpl w:val="F5740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645012C5"/>
    <w:multiLevelType w:val="multilevel"/>
    <w:tmpl w:val="617C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9" w15:restartNumberingAfterBreak="0">
    <w:nsid w:val="64BB296F"/>
    <w:multiLevelType w:val="multilevel"/>
    <w:tmpl w:val="9DEAA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0" w15:restartNumberingAfterBreak="0">
    <w:nsid w:val="654A0F71"/>
    <w:multiLevelType w:val="multilevel"/>
    <w:tmpl w:val="3F482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1" w15:restartNumberingAfterBreak="0">
    <w:nsid w:val="65A52AF5"/>
    <w:multiLevelType w:val="multilevel"/>
    <w:tmpl w:val="6B82DD4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2" w15:restartNumberingAfterBreak="0">
    <w:nsid w:val="65E43ACE"/>
    <w:multiLevelType w:val="multilevel"/>
    <w:tmpl w:val="743477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3" w15:restartNumberingAfterBreak="0">
    <w:nsid w:val="662440F6"/>
    <w:multiLevelType w:val="multilevel"/>
    <w:tmpl w:val="AD285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668672E0"/>
    <w:multiLevelType w:val="multilevel"/>
    <w:tmpl w:val="A392B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5" w15:restartNumberingAfterBreak="0">
    <w:nsid w:val="66CE2B48"/>
    <w:multiLevelType w:val="multilevel"/>
    <w:tmpl w:val="58AA0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6" w15:restartNumberingAfterBreak="0">
    <w:nsid w:val="66D13BF0"/>
    <w:multiLevelType w:val="multilevel"/>
    <w:tmpl w:val="36526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7" w15:restartNumberingAfterBreak="0">
    <w:nsid w:val="66D71AEE"/>
    <w:multiLevelType w:val="multilevel"/>
    <w:tmpl w:val="A2E22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66E93EF7"/>
    <w:multiLevelType w:val="multilevel"/>
    <w:tmpl w:val="BA2A84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9" w15:restartNumberingAfterBreak="0">
    <w:nsid w:val="673776F7"/>
    <w:multiLevelType w:val="multilevel"/>
    <w:tmpl w:val="4B5C8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675212D6"/>
    <w:multiLevelType w:val="multilevel"/>
    <w:tmpl w:val="C4324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1" w15:restartNumberingAfterBreak="0">
    <w:nsid w:val="67A45A01"/>
    <w:multiLevelType w:val="multilevel"/>
    <w:tmpl w:val="21FE9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67F43FD7"/>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680674D8"/>
    <w:multiLevelType w:val="multilevel"/>
    <w:tmpl w:val="AA588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4" w15:restartNumberingAfterBreak="0">
    <w:nsid w:val="685B33B5"/>
    <w:multiLevelType w:val="multilevel"/>
    <w:tmpl w:val="E85CAB7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5" w15:restartNumberingAfterBreak="0">
    <w:nsid w:val="686F2970"/>
    <w:multiLevelType w:val="multilevel"/>
    <w:tmpl w:val="C1321F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6" w15:restartNumberingAfterBreak="0">
    <w:nsid w:val="68850524"/>
    <w:multiLevelType w:val="multilevel"/>
    <w:tmpl w:val="A8C08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7" w15:restartNumberingAfterBreak="0">
    <w:nsid w:val="688F08D9"/>
    <w:multiLevelType w:val="multilevel"/>
    <w:tmpl w:val="38267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68931F03"/>
    <w:multiLevelType w:val="multilevel"/>
    <w:tmpl w:val="E2F8E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690C4D9F"/>
    <w:multiLevelType w:val="multilevel"/>
    <w:tmpl w:val="41C20E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0" w15:restartNumberingAfterBreak="0">
    <w:nsid w:val="69216BA0"/>
    <w:multiLevelType w:val="multilevel"/>
    <w:tmpl w:val="4C329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1" w15:restartNumberingAfterBreak="0">
    <w:nsid w:val="69232C21"/>
    <w:multiLevelType w:val="multilevel"/>
    <w:tmpl w:val="5F92B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69524B00"/>
    <w:multiLevelType w:val="multilevel"/>
    <w:tmpl w:val="F788E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3" w15:restartNumberingAfterBreak="0">
    <w:nsid w:val="69B16C9C"/>
    <w:multiLevelType w:val="multilevel"/>
    <w:tmpl w:val="C7661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4" w15:restartNumberingAfterBreak="0">
    <w:nsid w:val="6A0808F6"/>
    <w:multiLevelType w:val="multilevel"/>
    <w:tmpl w:val="FCC81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6A1A317E"/>
    <w:multiLevelType w:val="multilevel"/>
    <w:tmpl w:val="F6944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6A272BAE"/>
    <w:multiLevelType w:val="multilevel"/>
    <w:tmpl w:val="FF10D0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7" w15:restartNumberingAfterBreak="0">
    <w:nsid w:val="6A383C2B"/>
    <w:multiLevelType w:val="multilevel"/>
    <w:tmpl w:val="EC423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8" w15:restartNumberingAfterBreak="0">
    <w:nsid w:val="6A3B18C4"/>
    <w:multiLevelType w:val="multilevel"/>
    <w:tmpl w:val="B5B8D60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9" w15:restartNumberingAfterBreak="0">
    <w:nsid w:val="6A8C3CC9"/>
    <w:multiLevelType w:val="multilevel"/>
    <w:tmpl w:val="5E72C7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0" w15:restartNumberingAfterBreak="0">
    <w:nsid w:val="6B4878D4"/>
    <w:multiLevelType w:val="multilevel"/>
    <w:tmpl w:val="3B64C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6B6F5025"/>
    <w:multiLevelType w:val="multilevel"/>
    <w:tmpl w:val="E7AAF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6B851C9E"/>
    <w:multiLevelType w:val="multilevel"/>
    <w:tmpl w:val="398C0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6BB84616"/>
    <w:multiLevelType w:val="multilevel"/>
    <w:tmpl w:val="1E863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4" w15:restartNumberingAfterBreak="0">
    <w:nsid w:val="6BBD024E"/>
    <w:multiLevelType w:val="multilevel"/>
    <w:tmpl w:val="53EE4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6BC11BB8"/>
    <w:multiLevelType w:val="multilevel"/>
    <w:tmpl w:val="32707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6" w15:restartNumberingAfterBreak="0">
    <w:nsid w:val="6C037C02"/>
    <w:multiLevelType w:val="multilevel"/>
    <w:tmpl w:val="6EC05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7" w15:restartNumberingAfterBreak="0">
    <w:nsid w:val="6C2053A7"/>
    <w:multiLevelType w:val="multilevel"/>
    <w:tmpl w:val="010EE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8" w15:restartNumberingAfterBreak="0">
    <w:nsid w:val="6C42018D"/>
    <w:multiLevelType w:val="multilevel"/>
    <w:tmpl w:val="48D8D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6C4A25C9"/>
    <w:multiLevelType w:val="multilevel"/>
    <w:tmpl w:val="7A826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0" w15:restartNumberingAfterBreak="0">
    <w:nsid w:val="6C721C36"/>
    <w:multiLevelType w:val="multilevel"/>
    <w:tmpl w:val="09D0C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1" w15:restartNumberingAfterBreak="0">
    <w:nsid w:val="6D017CAF"/>
    <w:multiLevelType w:val="multilevel"/>
    <w:tmpl w:val="33F46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2" w15:restartNumberingAfterBreak="0">
    <w:nsid w:val="6D204172"/>
    <w:multiLevelType w:val="multilevel"/>
    <w:tmpl w:val="ECC4B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3" w15:restartNumberingAfterBreak="0">
    <w:nsid w:val="6D2F038E"/>
    <w:multiLevelType w:val="multilevel"/>
    <w:tmpl w:val="1A742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4" w15:restartNumberingAfterBreak="0">
    <w:nsid w:val="6D437038"/>
    <w:multiLevelType w:val="multilevel"/>
    <w:tmpl w:val="E5569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5" w15:restartNumberingAfterBreak="0">
    <w:nsid w:val="6D47796A"/>
    <w:multiLevelType w:val="multilevel"/>
    <w:tmpl w:val="57E46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6D6912B8"/>
    <w:multiLevelType w:val="multilevel"/>
    <w:tmpl w:val="A3962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6D8E3075"/>
    <w:multiLevelType w:val="multilevel"/>
    <w:tmpl w:val="4BBA85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8" w15:restartNumberingAfterBreak="0">
    <w:nsid w:val="6D983749"/>
    <w:multiLevelType w:val="multilevel"/>
    <w:tmpl w:val="529ED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6DE07B6C"/>
    <w:multiLevelType w:val="multilevel"/>
    <w:tmpl w:val="49E686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0" w15:restartNumberingAfterBreak="0">
    <w:nsid w:val="6DEE17B8"/>
    <w:multiLevelType w:val="multilevel"/>
    <w:tmpl w:val="49720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6E015A39"/>
    <w:multiLevelType w:val="multilevel"/>
    <w:tmpl w:val="F8F0B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6E6E51EC"/>
    <w:multiLevelType w:val="multilevel"/>
    <w:tmpl w:val="3CAE4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6EA454F2"/>
    <w:multiLevelType w:val="multilevel"/>
    <w:tmpl w:val="259C5E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4" w15:restartNumberingAfterBreak="0">
    <w:nsid w:val="6F637719"/>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6FB362F0"/>
    <w:multiLevelType w:val="multilevel"/>
    <w:tmpl w:val="AF143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6" w15:restartNumberingAfterBreak="0">
    <w:nsid w:val="700113CF"/>
    <w:multiLevelType w:val="multilevel"/>
    <w:tmpl w:val="62B8B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705131E1"/>
    <w:multiLevelType w:val="multilevel"/>
    <w:tmpl w:val="9EDE4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707E68A7"/>
    <w:multiLevelType w:val="multilevel"/>
    <w:tmpl w:val="2594E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71645224"/>
    <w:multiLevelType w:val="multilevel"/>
    <w:tmpl w:val="E33E5B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0" w15:restartNumberingAfterBreak="0">
    <w:nsid w:val="719E7EA8"/>
    <w:multiLevelType w:val="multilevel"/>
    <w:tmpl w:val="990E1FF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1" w15:restartNumberingAfterBreak="0">
    <w:nsid w:val="71C67A71"/>
    <w:multiLevelType w:val="multilevel"/>
    <w:tmpl w:val="122CA9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2" w15:restartNumberingAfterBreak="0">
    <w:nsid w:val="72625E37"/>
    <w:multiLevelType w:val="multilevel"/>
    <w:tmpl w:val="6DB07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3" w15:restartNumberingAfterBreak="0">
    <w:nsid w:val="73025E83"/>
    <w:multiLevelType w:val="multilevel"/>
    <w:tmpl w:val="035074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4" w15:restartNumberingAfterBreak="0">
    <w:nsid w:val="73597B37"/>
    <w:multiLevelType w:val="multilevel"/>
    <w:tmpl w:val="633EC9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736D7241"/>
    <w:multiLevelType w:val="multilevel"/>
    <w:tmpl w:val="03924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6" w15:restartNumberingAfterBreak="0">
    <w:nsid w:val="73AB3D0A"/>
    <w:multiLevelType w:val="multilevel"/>
    <w:tmpl w:val="EF624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73AE25CE"/>
    <w:multiLevelType w:val="multilevel"/>
    <w:tmpl w:val="F5183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73C94054"/>
    <w:multiLevelType w:val="multilevel"/>
    <w:tmpl w:val="38A80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9" w15:restartNumberingAfterBreak="0">
    <w:nsid w:val="73F30A7E"/>
    <w:multiLevelType w:val="multilevel"/>
    <w:tmpl w:val="8F44A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740F3938"/>
    <w:multiLevelType w:val="multilevel"/>
    <w:tmpl w:val="9DC8AB8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1" w15:restartNumberingAfterBreak="0">
    <w:nsid w:val="74192455"/>
    <w:multiLevelType w:val="multilevel"/>
    <w:tmpl w:val="23B08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74361CA1"/>
    <w:multiLevelType w:val="multilevel"/>
    <w:tmpl w:val="21922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3" w15:restartNumberingAfterBreak="0">
    <w:nsid w:val="74A47D92"/>
    <w:multiLevelType w:val="multilevel"/>
    <w:tmpl w:val="39ACFD6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4" w15:restartNumberingAfterBreak="0">
    <w:nsid w:val="74D84857"/>
    <w:multiLevelType w:val="multilevel"/>
    <w:tmpl w:val="D5861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754E7C63"/>
    <w:multiLevelType w:val="multilevel"/>
    <w:tmpl w:val="70D0578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6" w15:restartNumberingAfterBreak="0">
    <w:nsid w:val="75645FE3"/>
    <w:multiLevelType w:val="multilevel"/>
    <w:tmpl w:val="85E04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75691B5A"/>
    <w:multiLevelType w:val="hybridMultilevel"/>
    <w:tmpl w:val="1032B81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48" w15:restartNumberingAfterBreak="0">
    <w:nsid w:val="763360B8"/>
    <w:multiLevelType w:val="multilevel"/>
    <w:tmpl w:val="9CA8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766C61F7"/>
    <w:multiLevelType w:val="multilevel"/>
    <w:tmpl w:val="167CE0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0" w15:restartNumberingAfterBreak="0">
    <w:nsid w:val="76876DEE"/>
    <w:multiLevelType w:val="multilevel"/>
    <w:tmpl w:val="313C1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1" w15:restartNumberingAfterBreak="0">
    <w:nsid w:val="76AF66E8"/>
    <w:multiLevelType w:val="multilevel"/>
    <w:tmpl w:val="5582F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76FF57D6"/>
    <w:multiLevelType w:val="multilevel"/>
    <w:tmpl w:val="07047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3" w15:restartNumberingAfterBreak="0">
    <w:nsid w:val="772F2615"/>
    <w:multiLevelType w:val="multilevel"/>
    <w:tmpl w:val="7AB4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77CE6E97"/>
    <w:multiLevelType w:val="multilevel"/>
    <w:tmpl w:val="D8AC011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5" w15:restartNumberingAfterBreak="0">
    <w:nsid w:val="77F66E31"/>
    <w:multiLevelType w:val="multilevel"/>
    <w:tmpl w:val="43880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78175FE2"/>
    <w:multiLevelType w:val="multilevel"/>
    <w:tmpl w:val="775EE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783F57D2"/>
    <w:multiLevelType w:val="multilevel"/>
    <w:tmpl w:val="C038B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8" w15:restartNumberingAfterBreak="0">
    <w:nsid w:val="78761D6A"/>
    <w:multiLevelType w:val="multilevel"/>
    <w:tmpl w:val="227AF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9" w15:restartNumberingAfterBreak="0">
    <w:nsid w:val="793A7D6B"/>
    <w:multiLevelType w:val="multilevel"/>
    <w:tmpl w:val="ABE4C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0" w15:restartNumberingAfterBreak="0">
    <w:nsid w:val="793B2D11"/>
    <w:multiLevelType w:val="multilevel"/>
    <w:tmpl w:val="635C5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1" w15:restartNumberingAfterBreak="0">
    <w:nsid w:val="797F5BB3"/>
    <w:multiLevelType w:val="multilevel"/>
    <w:tmpl w:val="486E2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2" w15:restartNumberingAfterBreak="0">
    <w:nsid w:val="7991799C"/>
    <w:multiLevelType w:val="multilevel"/>
    <w:tmpl w:val="7090C6F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3" w15:restartNumberingAfterBreak="0">
    <w:nsid w:val="79A155F7"/>
    <w:multiLevelType w:val="multilevel"/>
    <w:tmpl w:val="50EA7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4" w15:restartNumberingAfterBreak="0">
    <w:nsid w:val="79B7390A"/>
    <w:multiLevelType w:val="multilevel"/>
    <w:tmpl w:val="0D6EA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5" w15:restartNumberingAfterBreak="0">
    <w:nsid w:val="7A044C70"/>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7A270BAB"/>
    <w:multiLevelType w:val="multilevel"/>
    <w:tmpl w:val="88DA7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7" w15:restartNumberingAfterBreak="0">
    <w:nsid w:val="7A321BFA"/>
    <w:multiLevelType w:val="multilevel"/>
    <w:tmpl w:val="F1944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7B08472E"/>
    <w:multiLevelType w:val="multilevel"/>
    <w:tmpl w:val="DA8849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9" w15:restartNumberingAfterBreak="0">
    <w:nsid w:val="7BE14873"/>
    <w:multiLevelType w:val="multilevel"/>
    <w:tmpl w:val="3DDA6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0" w15:restartNumberingAfterBreak="0">
    <w:nsid w:val="7BEB40FD"/>
    <w:multiLevelType w:val="multilevel"/>
    <w:tmpl w:val="D8F23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7BF77CB8"/>
    <w:multiLevelType w:val="multilevel"/>
    <w:tmpl w:val="C3A89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2" w15:restartNumberingAfterBreak="0">
    <w:nsid w:val="7C0B0CD7"/>
    <w:multiLevelType w:val="multilevel"/>
    <w:tmpl w:val="66265C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3" w15:restartNumberingAfterBreak="0">
    <w:nsid w:val="7C192501"/>
    <w:multiLevelType w:val="multilevel"/>
    <w:tmpl w:val="95822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7C4F3E7F"/>
    <w:multiLevelType w:val="multilevel"/>
    <w:tmpl w:val="98241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7C8F57DD"/>
    <w:multiLevelType w:val="multilevel"/>
    <w:tmpl w:val="168A0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6" w15:restartNumberingAfterBreak="0">
    <w:nsid w:val="7CFD456F"/>
    <w:multiLevelType w:val="multilevel"/>
    <w:tmpl w:val="122EBB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7D0B7391"/>
    <w:multiLevelType w:val="multilevel"/>
    <w:tmpl w:val="9E386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7D1B36DB"/>
    <w:multiLevelType w:val="multilevel"/>
    <w:tmpl w:val="71F8A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7D824123"/>
    <w:multiLevelType w:val="multilevel"/>
    <w:tmpl w:val="54EAF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7D864921"/>
    <w:multiLevelType w:val="multilevel"/>
    <w:tmpl w:val="90CA3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7E4B47FF"/>
    <w:multiLevelType w:val="multilevel"/>
    <w:tmpl w:val="9EA6B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2" w15:restartNumberingAfterBreak="0">
    <w:nsid w:val="7EA420DB"/>
    <w:multiLevelType w:val="multilevel"/>
    <w:tmpl w:val="CDEA0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7EA85285"/>
    <w:multiLevelType w:val="multilevel"/>
    <w:tmpl w:val="E4120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4" w15:restartNumberingAfterBreak="0">
    <w:nsid w:val="7EC23C90"/>
    <w:multiLevelType w:val="multilevel"/>
    <w:tmpl w:val="4C70D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7ED168EB"/>
    <w:multiLevelType w:val="multilevel"/>
    <w:tmpl w:val="955EB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6" w15:restartNumberingAfterBreak="0">
    <w:nsid w:val="7EDF06FD"/>
    <w:multiLevelType w:val="multilevel"/>
    <w:tmpl w:val="9224F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7" w15:restartNumberingAfterBreak="0">
    <w:nsid w:val="7F9D7F88"/>
    <w:multiLevelType w:val="multilevel"/>
    <w:tmpl w:val="C26C1D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8" w15:restartNumberingAfterBreak="0">
    <w:nsid w:val="7FAD5792"/>
    <w:multiLevelType w:val="multilevel"/>
    <w:tmpl w:val="F2E6F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7FB05A7E"/>
    <w:multiLevelType w:val="multilevel"/>
    <w:tmpl w:val="A65A63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0" w15:restartNumberingAfterBreak="0">
    <w:nsid w:val="7FEF5354"/>
    <w:multiLevelType w:val="multilevel"/>
    <w:tmpl w:val="193210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77"/>
  </w:num>
  <w:num w:numId="2">
    <w:abstractNumId w:val="428"/>
  </w:num>
  <w:num w:numId="3">
    <w:abstractNumId w:val="556"/>
  </w:num>
  <w:num w:numId="4">
    <w:abstractNumId w:val="242"/>
  </w:num>
  <w:num w:numId="5">
    <w:abstractNumId w:val="140"/>
  </w:num>
  <w:num w:numId="6">
    <w:abstractNumId w:val="363"/>
  </w:num>
  <w:num w:numId="7">
    <w:abstractNumId w:val="495"/>
  </w:num>
  <w:num w:numId="8">
    <w:abstractNumId w:val="295"/>
  </w:num>
  <w:num w:numId="9">
    <w:abstractNumId w:val="534"/>
  </w:num>
  <w:num w:numId="10">
    <w:abstractNumId w:val="247"/>
  </w:num>
  <w:num w:numId="11">
    <w:abstractNumId w:val="77"/>
  </w:num>
  <w:num w:numId="12">
    <w:abstractNumId w:val="311"/>
  </w:num>
  <w:num w:numId="13">
    <w:abstractNumId w:val="198"/>
  </w:num>
  <w:num w:numId="14">
    <w:abstractNumId w:val="200"/>
  </w:num>
  <w:num w:numId="15">
    <w:abstractNumId w:val="516"/>
  </w:num>
  <w:num w:numId="16">
    <w:abstractNumId w:val="322"/>
  </w:num>
  <w:num w:numId="17">
    <w:abstractNumId w:val="189"/>
  </w:num>
  <w:num w:numId="18">
    <w:abstractNumId w:val="580"/>
  </w:num>
  <w:num w:numId="19">
    <w:abstractNumId w:val="330"/>
  </w:num>
  <w:num w:numId="20">
    <w:abstractNumId w:val="481"/>
  </w:num>
  <w:num w:numId="21">
    <w:abstractNumId w:val="23"/>
  </w:num>
  <w:num w:numId="22">
    <w:abstractNumId w:val="97"/>
  </w:num>
  <w:num w:numId="23">
    <w:abstractNumId w:val="370"/>
  </w:num>
  <w:num w:numId="24">
    <w:abstractNumId w:val="215"/>
  </w:num>
  <w:num w:numId="25">
    <w:abstractNumId w:val="426"/>
  </w:num>
  <w:num w:numId="26">
    <w:abstractNumId w:val="357"/>
  </w:num>
  <w:num w:numId="27">
    <w:abstractNumId w:val="380"/>
  </w:num>
  <w:num w:numId="28">
    <w:abstractNumId w:val="578"/>
  </w:num>
  <w:num w:numId="29">
    <w:abstractNumId w:val="508"/>
  </w:num>
  <w:num w:numId="30">
    <w:abstractNumId w:val="60"/>
  </w:num>
  <w:num w:numId="31">
    <w:abstractNumId w:val="526"/>
  </w:num>
  <w:num w:numId="32">
    <w:abstractNumId w:val="92"/>
  </w:num>
  <w:num w:numId="33">
    <w:abstractNumId w:val="385"/>
  </w:num>
  <w:num w:numId="34">
    <w:abstractNumId w:val="521"/>
  </w:num>
  <w:num w:numId="35">
    <w:abstractNumId w:val="113"/>
  </w:num>
  <w:num w:numId="36">
    <w:abstractNumId w:val="346"/>
  </w:num>
  <w:num w:numId="37">
    <w:abstractNumId w:val="299"/>
  </w:num>
  <w:num w:numId="38">
    <w:abstractNumId w:val="212"/>
  </w:num>
  <w:num w:numId="39">
    <w:abstractNumId w:val="316"/>
  </w:num>
  <w:num w:numId="40">
    <w:abstractNumId w:val="379"/>
  </w:num>
  <w:num w:numId="41">
    <w:abstractNumId w:val="345"/>
  </w:num>
  <w:num w:numId="42">
    <w:abstractNumId w:val="132"/>
  </w:num>
  <w:num w:numId="43">
    <w:abstractNumId w:val="264"/>
  </w:num>
  <w:num w:numId="44">
    <w:abstractNumId w:val="72"/>
  </w:num>
  <w:num w:numId="45">
    <w:abstractNumId w:val="409"/>
  </w:num>
  <w:num w:numId="46">
    <w:abstractNumId w:val="164"/>
  </w:num>
  <w:num w:numId="47">
    <w:abstractNumId w:val="96"/>
  </w:num>
  <w:num w:numId="48">
    <w:abstractNumId w:val="462"/>
  </w:num>
  <w:num w:numId="49">
    <w:abstractNumId w:val="120"/>
  </w:num>
  <w:num w:numId="50">
    <w:abstractNumId w:val="213"/>
  </w:num>
  <w:num w:numId="51">
    <w:abstractNumId w:val="159"/>
  </w:num>
  <w:num w:numId="52">
    <w:abstractNumId w:val="323"/>
  </w:num>
  <w:num w:numId="53">
    <w:abstractNumId w:val="398"/>
  </w:num>
  <w:num w:numId="54">
    <w:abstractNumId w:val="306"/>
  </w:num>
  <w:num w:numId="55">
    <w:abstractNumId w:val="26"/>
  </w:num>
  <w:num w:numId="56">
    <w:abstractNumId w:val="179"/>
  </w:num>
  <w:num w:numId="57">
    <w:abstractNumId w:val="52"/>
  </w:num>
  <w:num w:numId="58">
    <w:abstractNumId w:val="156"/>
  </w:num>
  <w:num w:numId="59">
    <w:abstractNumId w:val="87"/>
  </w:num>
  <w:num w:numId="60">
    <w:abstractNumId w:val="292"/>
  </w:num>
  <w:num w:numId="61">
    <w:abstractNumId w:val="14"/>
  </w:num>
  <w:num w:numId="62">
    <w:abstractNumId w:val="45"/>
  </w:num>
  <w:num w:numId="63">
    <w:abstractNumId w:val="487"/>
  </w:num>
  <w:num w:numId="64">
    <w:abstractNumId w:val="584"/>
  </w:num>
  <w:num w:numId="65">
    <w:abstractNumId w:val="191"/>
  </w:num>
  <w:num w:numId="66">
    <w:abstractNumId w:val="269"/>
  </w:num>
  <w:num w:numId="67">
    <w:abstractNumId w:val="229"/>
  </w:num>
  <w:num w:numId="68">
    <w:abstractNumId w:val="34"/>
  </w:num>
  <w:num w:numId="69">
    <w:abstractNumId w:val="393"/>
  </w:num>
  <w:num w:numId="70">
    <w:abstractNumId w:val="171"/>
  </w:num>
  <w:num w:numId="71">
    <w:abstractNumId w:val="188"/>
  </w:num>
  <w:num w:numId="72">
    <w:abstractNumId w:val="332"/>
  </w:num>
  <w:num w:numId="73">
    <w:abstractNumId w:val="31"/>
  </w:num>
  <w:num w:numId="74">
    <w:abstractNumId w:val="121"/>
  </w:num>
  <w:num w:numId="75">
    <w:abstractNumId w:val="90"/>
  </w:num>
  <w:num w:numId="76">
    <w:abstractNumId w:val="293"/>
  </w:num>
  <w:num w:numId="77">
    <w:abstractNumId w:val="226"/>
  </w:num>
  <w:num w:numId="78">
    <w:abstractNumId w:val="137"/>
  </w:num>
  <w:num w:numId="79">
    <w:abstractNumId w:val="373"/>
  </w:num>
  <w:num w:numId="80">
    <w:abstractNumId w:val="443"/>
  </w:num>
  <w:num w:numId="81">
    <w:abstractNumId w:val="423"/>
  </w:num>
  <w:num w:numId="82">
    <w:abstractNumId w:val="286"/>
  </w:num>
  <w:num w:numId="83">
    <w:abstractNumId w:val="435"/>
  </w:num>
  <w:num w:numId="84">
    <w:abstractNumId w:val="282"/>
  </w:num>
  <w:num w:numId="85">
    <w:abstractNumId w:val="133"/>
  </w:num>
  <w:num w:numId="86">
    <w:abstractNumId w:val="240"/>
  </w:num>
  <w:num w:numId="87">
    <w:abstractNumId w:val="375"/>
  </w:num>
  <w:num w:numId="88">
    <w:abstractNumId w:val="504"/>
  </w:num>
  <w:num w:numId="89">
    <w:abstractNumId w:val="205"/>
  </w:num>
  <w:num w:numId="90">
    <w:abstractNumId w:val="176"/>
  </w:num>
  <w:num w:numId="91">
    <w:abstractNumId w:val="35"/>
  </w:num>
  <w:num w:numId="92">
    <w:abstractNumId w:val="254"/>
  </w:num>
  <w:num w:numId="93">
    <w:abstractNumId w:val="277"/>
  </w:num>
  <w:num w:numId="94">
    <w:abstractNumId w:val="567"/>
  </w:num>
  <w:num w:numId="95">
    <w:abstractNumId w:val="387"/>
  </w:num>
  <w:num w:numId="96">
    <w:abstractNumId w:val="515"/>
  </w:num>
  <w:num w:numId="97">
    <w:abstractNumId w:val="27"/>
  </w:num>
  <w:num w:numId="98">
    <w:abstractNumId w:val="29"/>
  </w:num>
  <w:num w:numId="99">
    <w:abstractNumId w:val="21"/>
  </w:num>
  <w:num w:numId="100">
    <w:abstractNumId w:val="16"/>
  </w:num>
  <w:num w:numId="101">
    <w:abstractNumId w:val="302"/>
  </w:num>
  <w:num w:numId="102">
    <w:abstractNumId w:val="5"/>
  </w:num>
  <w:num w:numId="103">
    <w:abstractNumId w:val="73"/>
  </w:num>
  <w:num w:numId="104">
    <w:abstractNumId w:val="466"/>
  </w:num>
  <w:num w:numId="105">
    <w:abstractNumId w:val="315"/>
  </w:num>
  <w:num w:numId="106">
    <w:abstractNumId w:val="22"/>
  </w:num>
  <w:num w:numId="107">
    <w:abstractNumId w:val="478"/>
  </w:num>
  <w:num w:numId="108">
    <w:abstractNumId w:val="467"/>
  </w:num>
  <w:num w:numId="109">
    <w:abstractNumId w:val="67"/>
  </w:num>
  <w:num w:numId="110">
    <w:abstractNumId w:val="529"/>
  </w:num>
  <w:num w:numId="111">
    <w:abstractNumId w:val="320"/>
  </w:num>
  <w:num w:numId="112">
    <w:abstractNumId w:val="364"/>
  </w:num>
  <w:num w:numId="113">
    <w:abstractNumId w:val="397"/>
  </w:num>
  <w:num w:numId="114">
    <w:abstractNumId w:val="166"/>
  </w:num>
  <w:num w:numId="115">
    <w:abstractNumId w:val="232"/>
  </w:num>
  <w:num w:numId="116">
    <w:abstractNumId w:val="419"/>
  </w:num>
  <w:num w:numId="117">
    <w:abstractNumId w:val="341"/>
  </w:num>
  <w:num w:numId="118">
    <w:abstractNumId w:val="155"/>
  </w:num>
  <w:num w:numId="119">
    <w:abstractNumId w:val="429"/>
  </w:num>
  <w:num w:numId="120">
    <w:abstractNumId w:val="186"/>
  </w:num>
  <w:num w:numId="121">
    <w:abstractNumId w:val="68"/>
  </w:num>
  <w:num w:numId="122">
    <w:abstractNumId w:val="498"/>
  </w:num>
  <w:num w:numId="123">
    <w:abstractNumId w:val="153"/>
  </w:num>
  <w:num w:numId="124">
    <w:abstractNumId w:val="471"/>
  </w:num>
  <w:num w:numId="125">
    <w:abstractNumId w:val="54"/>
  </w:num>
  <w:num w:numId="126">
    <w:abstractNumId w:val="102"/>
  </w:num>
  <w:num w:numId="127">
    <w:abstractNumId w:val="544"/>
  </w:num>
  <w:num w:numId="128">
    <w:abstractNumId w:val="451"/>
  </w:num>
  <w:num w:numId="129">
    <w:abstractNumId w:val="118"/>
  </w:num>
  <w:num w:numId="130">
    <w:abstractNumId w:val="488"/>
  </w:num>
  <w:num w:numId="131">
    <w:abstractNumId w:val="554"/>
  </w:num>
  <w:num w:numId="132">
    <w:abstractNumId w:val="61"/>
  </w:num>
  <w:num w:numId="133">
    <w:abstractNumId w:val="461"/>
  </w:num>
  <w:num w:numId="134">
    <w:abstractNumId w:val="110"/>
  </w:num>
  <w:num w:numId="135">
    <w:abstractNumId w:val="59"/>
  </w:num>
  <w:num w:numId="136">
    <w:abstractNumId w:val="371"/>
  </w:num>
  <w:num w:numId="137">
    <w:abstractNumId w:val="539"/>
  </w:num>
  <w:num w:numId="138">
    <w:abstractNumId w:val="223"/>
  </w:num>
  <w:num w:numId="139">
    <w:abstractNumId w:val="210"/>
  </w:num>
  <w:num w:numId="140">
    <w:abstractNumId w:val="460"/>
  </w:num>
  <w:num w:numId="141">
    <w:abstractNumId w:val="360"/>
  </w:num>
  <w:num w:numId="142">
    <w:abstractNumId w:val="312"/>
  </w:num>
  <w:num w:numId="143">
    <w:abstractNumId w:val="99"/>
  </w:num>
  <w:num w:numId="144">
    <w:abstractNumId w:val="542"/>
  </w:num>
  <w:num w:numId="145">
    <w:abstractNumId w:val="241"/>
  </w:num>
  <w:num w:numId="146">
    <w:abstractNumId w:val="543"/>
  </w:num>
  <w:num w:numId="147">
    <w:abstractNumId w:val="276"/>
  </w:num>
  <w:num w:numId="148">
    <w:abstractNumId w:val="473"/>
  </w:num>
  <w:num w:numId="149">
    <w:abstractNumId w:val="494"/>
  </w:num>
  <w:num w:numId="150">
    <w:abstractNumId w:val="274"/>
  </w:num>
  <w:num w:numId="151">
    <w:abstractNumId w:val="174"/>
  </w:num>
  <w:num w:numId="152">
    <w:abstractNumId w:val="126"/>
  </w:num>
  <w:num w:numId="153">
    <w:abstractNumId w:val="579"/>
  </w:num>
  <w:num w:numId="154">
    <w:abstractNumId w:val="335"/>
  </w:num>
  <w:num w:numId="155">
    <w:abstractNumId w:val="197"/>
  </w:num>
  <w:num w:numId="156">
    <w:abstractNumId w:val="185"/>
  </w:num>
  <w:num w:numId="157">
    <w:abstractNumId w:val="555"/>
  </w:num>
  <w:num w:numId="158">
    <w:abstractNumId w:val="51"/>
  </w:num>
  <w:num w:numId="159">
    <w:abstractNumId w:val="448"/>
  </w:num>
  <w:num w:numId="160">
    <w:abstractNumId w:val="300"/>
  </w:num>
  <w:num w:numId="161">
    <w:abstractNumId w:val="549"/>
  </w:num>
  <w:num w:numId="162">
    <w:abstractNumId w:val="442"/>
  </w:num>
  <w:num w:numId="163">
    <w:abstractNumId w:val="249"/>
  </w:num>
  <w:num w:numId="164">
    <w:abstractNumId w:val="219"/>
  </w:num>
  <w:num w:numId="165">
    <w:abstractNumId w:val="48"/>
  </w:num>
  <w:num w:numId="166">
    <w:abstractNumId w:val="81"/>
  </w:num>
  <w:num w:numId="167">
    <w:abstractNumId w:val="244"/>
  </w:num>
  <w:num w:numId="168">
    <w:abstractNumId w:val="131"/>
  </w:num>
  <w:num w:numId="169">
    <w:abstractNumId w:val="446"/>
  </w:num>
  <w:num w:numId="170">
    <w:abstractNumId w:val="353"/>
  </w:num>
  <w:num w:numId="171">
    <w:abstractNumId w:val="127"/>
  </w:num>
  <w:num w:numId="172">
    <w:abstractNumId w:val="24"/>
  </w:num>
  <w:num w:numId="173">
    <w:abstractNumId w:val="148"/>
  </w:num>
  <w:num w:numId="174">
    <w:abstractNumId w:val="511"/>
  </w:num>
  <w:num w:numId="175">
    <w:abstractNumId w:val="93"/>
  </w:num>
  <w:num w:numId="176">
    <w:abstractNumId w:val="455"/>
  </w:num>
  <w:num w:numId="177">
    <w:abstractNumId w:val="224"/>
  </w:num>
  <w:num w:numId="178">
    <w:abstractNumId w:val="122"/>
  </w:num>
  <w:num w:numId="179">
    <w:abstractNumId w:val="75"/>
  </w:num>
  <w:num w:numId="180">
    <w:abstractNumId w:val="500"/>
  </w:num>
  <w:num w:numId="181">
    <w:abstractNumId w:val="321"/>
  </w:num>
  <w:num w:numId="182">
    <w:abstractNumId w:val="84"/>
  </w:num>
  <w:num w:numId="183">
    <w:abstractNumId w:val="33"/>
  </w:num>
  <w:num w:numId="184">
    <w:abstractNumId w:val="65"/>
  </w:num>
  <w:num w:numId="185">
    <w:abstractNumId w:val="147"/>
  </w:num>
  <w:num w:numId="186">
    <w:abstractNumId w:val="252"/>
  </w:num>
  <w:num w:numId="187">
    <w:abstractNumId w:val="192"/>
  </w:num>
  <w:num w:numId="188">
    <w:abstractNumId w:val="527"/>
  </w:num>
  <w:num w:numId="189">
    <w:abstractNumId w:val="414"/>
  </w:num>
  <w:num w:numId="190">
    <w:abstractNumId w:val="437"/>
  </w:num>
  <w:num w:numId="191">
    <w:abstractNumId w:val="388"/>
  </w:num>
  <w:num w:numId="192">
    <w:abstractNumId w:val="206"/>
  </w:num>
  <w:num w:numId="193">
    <w:abstractNumId w:val="574"/>
  </w:num>
  <w:num w:numId="194">
    <w:abstractNumId w:val="270"/>
  </w:num>
  <w:num w:numId="195">
    <w:abstractNumId w:val="336"/>
  </w:num>
  <w:num w:numId="196">
    <w:abstractNumId w:val="445"/>
  </w:num>
  <w:num w:numId="197">
    <w:abstractNumId w:val="30"/>
  </w:num>
  <w:num w:numId="198">
    <w:abstractNumId w:val="80"/>
  </w:num>
  <w:num w:numId="199">
    <w:abstractNumId w:val="201"/>
  </w:num>
  <w:num w:numId="200">
    <w:abstractNumId w:val="13"/>
  </w:num>
  <w:num w:numId="201">
    <w:abstractNumId w:val="116"/>
  </w:num>
  <w:num w:numId="202">
    <w:abstractNumId w:val="405"/>
  </w:num>
  <w:num w:numId="203">
    <w:abstractNumId w:val="421"/>
  </w:num>
  <w:num w:numId="204">
    <w:abstractNumId w:val="582"/>
  </w:num>
  <w:num w:numId="205">
    <w:abstractNumId w:val="190"/>
  </w:num>
  <w:num w:numId="206">
    <w:abstractNumId w:val="285"/>
  </w:num>
  <w:num w:numId="207">
    <w:abstractNumId w:val="260"/>
  </w:num>
  <w:num w:numId="208">
    <w:abstractNumId w:val="490"/>
  </w:num>
  <w:num w:numId="209">
    <w:abstractNumId w:val="327"/>
  </w:num>
  <w:num w:numId="210">
    <w:abstractNumId w:val="530"/>
  </w:num>
  <w:num w:numId="211">
    <w:abstractNumId w:val="104"/>
  </w:num>
  <w:num w:numId="212">
    <w:abstractNumId w:val="350"/>
  </w:num>
  <w:num w:numId="213">
    <w:abstractNumId w:val="524"/>
  </w:num>
  <w:num w:numId="214">
    <w:abstractNumId w:val="288"/>
  </w:num>
  <w:num w:numId="215">
    <w:abstractNumId w:val="326"/>
  </w:num>
  <w:num w:numId="216">
    <w:abstractNumId w:val="575"/>
  </w:num>
  <w:num w:numId="217">
    <w:abstractNumId w:val="400"/>
  </w:num>
  <w:num w:numId="218">
    <w:abstractNumId w:val="382"/>
  </w:num>
  <w:num w:numId="219">
    <w:abstractNumId w:val="565"/>
  </w:num>
  <w:num w:numId="220">
    <w:abstractNumId w:val="238"/>
  </w:num>
  <w:num w:numId="221">
    <w:abstractNumId w:val="296"/>
  </w:num>
  <w:num w:numId="222">
    <w:abstractNumId w:val="358"/>
  </w:num>
  <w:num w:numId="223">
    <w:abstractNumId w:val="482"/>
  </w:num>
  <w:num w:numId="224">
    <w:abstractNumId w:val="352"/>
  </w:num>
  <w:num w:numId="225">
    <w:abstractNumId w:val="145"/>
  </w:num>
  <w:num w:numId="226">
    <w:abstractNumId w:val="39"/>
  </w:num>
  <w:num w:numId="227">
    <w:abstractNumId w:val="173"/>
  </w:num>
  <w:num w:numId="228">
    <w:abstractNumId w:val="108"/>
  </w:num>
  <w:num w:numId="229">
    <w:abstractNumId w:val="485"/>
  </w:num>
  <w:num w:numId="230">
    <w:abstractNumId w:val="391"/>
  </w:num>
  <w:num w:numId="231">
    <w:abstractNumId w:val="548"/>
  </w:num>
  <w:num w:numId="232">
    <w:abstractNumId w:val="160"/>
  </w:num>
  <w:num w:numId="233">
    <w:abstractNumId w:val="248"/>
  </w:num>
  <w:num w:numId="234">
    <w:abstractNumId w:val="279"/>
  </w:num>
  <w:num w:numId="235">
    <w:abstractNumId w:val="536"/>
  </w:num>
  <w:num w:numId="236">
    <w:abstractNumId w:val="339"/>
  </w:num>
  <w:num w:numId="237">
    <w:abstractNumId w:val="551"/>
  </w:num>
  <w:num w:numId="238">
    <w:abstractNumId w:val="349"/>
  </w:num>
  <w:num w:numId="239">
    <w:abstractNumId w:val="449"/>
  </w:num>
  <w:num w:numId="240">
    <w:abstractNumId w:val="314"/>
  </w:num>
  <w:num w:numId="241">
    <w:abstractNumId w:val="389"/>
  </w:num>
  <w:num w:numId="242">
    <w:abstractNumId w:val="324"/>
  </w:num>
  <w:num w:numId="243">
    <w:abstractNumId w:val="74"/>
  </w:num>
  <w:num w:numId="244">
    <w:abstractNumId w:val="313"/>
  </w:num>
  <w:num w:numId="245">
    <w:abstractNumId w:val="537"/>
  </w:num>
  <w:num w:numId="246">
    <w:abstractNumId w:val="55"/>
  </w:num>
  <w:num w:numId="247">
    <w:abstractNumId w:val="258"/>
  </w:num>
  <w:num w:numId="248">
    <w:abstractNumId w:val="32"/>
  </w:num>
  <w:num w:numId="249">
    <w:abstractNumId w:val="577"/>
  </w:num>
  <w:num w:numId="250">
    <w:abstractNumId w:val="499"/>
  </w:num>
  <w:num w:numId="251">
    <w:abstractNumId w:val="183"/>
  </w:num>
  <w:num w:numId="252">
    <w:abstractNumId w:val="484"/>
  </w:num>
  <w:num w:numId="253">
    <w:abstractNumId w:val="129"/>
  </w:num>
  <w:num w:numId="254">
    <w:abstractNumId w:val="207"/>
  </w:num>
  <w:num w:numId="255">
    <w:abstractNumId w:val="538"/>
  </w:num>
  <w:num w:numId="256">
    <w:abstractNumId w:val="273"/>
  </w:num>
  <w:num w:numId="257">
    <w:abstractNumId w:val="570"/>
  </w:num>
  <w:num w:numId="258">
    <w:abstractNumId w:val="83"/>
  </w:num>
  <w:num w:numId="259">
    <w:abstractNumId w:val="114"/>
  </w:num>
  <w:num w:numId="260">
    <w:abstractNumId w:val="278"/>
  </w:num>
  <w:num w:numId="261">
    <w:abstractNumId w:val="541"/>
  </w:num>
  <w:num w:numId="262">
    <w:abstractNumId w:val="259"/>
  </w:num>
  <w:num w:numId="263">
    <w:abstractNumId w:val="86"/>
  </w:num>
  <w:num w:numId="264">
    <w:abstractNumId w:val="472"/>
  </w:num>
  <w:num w:numId="265">
    <w:abstractNumId w:val="158"/>
  </w:num>
  <w:num w:numId="266">
    <w:abstractNumId w:val="236"/>
  </w:num>
  <w:num w:numId="267">
    <w:abstractNumId w:val="589"/>
  </w:num>
  <w:num w:numId="268">
    <w:abstractNumId w:val="392"/>
  </w:num>
  <w:num w:numId="269">
    <w:abstractNumId w:val="334"/>
  </w:num>
  <w:num w:numId="270">
    <w:abstractNumId w:val="57"/>
  </w:num>
  <w:num w:numId="271">
    <w:abstractNumId w:val="464"/>
  </w:num>
  <w:num w:numId="272">
    <w:abstractNumId w:val="257"/>
  </w:num>
  <w:num w:numId="273">
    <w:abstractNumId w:val="301"/>
  </w:num>
  <w:num w:numId="274">
    <w:abstractNumId w:val="338"/>
  </w:num>
  <w:num w:numId="275">
    <w:abstractNumId w:val="399"/>
  </w:num>
  <w:num w:numId="276">
    <w:abstractNumId w:val="6"/>
  </w:num>
  <w:num w:numId="277">
    <w:abstractNumId w:val="256"/>
  </w:num>
  <w:num w:numId="278">
    <w:abstractNumId w:val="199"/>
  </w:num>
  <w:num w:numId="279">
    <w:abstractNumId w:val="218"/>
  </w:num>
  <w:num w:numId="280">
    <w:abstractNumId w:val="182"/>
  </w:num>
  <w:num w:numId="281">
    <w:abstractNumId w:val="354"/>
  </w:num>
  <w:num w:numId="282">
    <w:abstractNumId w:val="384"/>
  </w:num>
  <w:num w:numId="283">
    <w:abstractNumId w:val="479"/>
  </w:num>
  <w:num w:numId="284">
    <w:abstractNumId w:val="408"/>
  </w:num>
  <w:num w:numId="285">
    <w:abstractNumId w:val="149"/>
  </w:num>
  <w:num w:numId="286">
    <w:abstractNumId w:val="265"/>
  </w:num>
  <w:num w:numId="287">
    <w:abstractNumId w:val="211"/>
  </w:num>
  <w:num w:numId="288">
    <w:abstractNumId w:val="588"/>
  </w:num>
  <w:num w:numId="289">
    <w:abstractNumId w:val="381"/>
  </w:num>
  <w:num w:numId="290">
    <w:abstractNumId w:val="134"/>
  </w:num>
  <w:num w:numId="291">
    <w:abstractNumId w:val="528"/>
  </w:num>
  <w:num w:numId="292">
    <w:abstractNumId w:val="374"/>
  </w:num>
  <w:num w:numId="293">
    <w:abstractNumId w:val="144"/>
  </w:num>
  <w:num w:numId="294">
    <w:abstractNumId w:val="234"/>
  </w:num>
  <w:num w:numId="295">
    <w:abstractNumId w:val="169"/>
  </w:num>
  <w:num w:numId="296">
    <w:abstractNumId w:val="180"/>
  </w:num>
  <w:num w:numId="297">
    <w:abstractNumId w:val="576"/>
  </w:num>
  <w:num w:numId="298">
    <w:abstractNumId w:val="40"/>
  </w:num>
  <w:num w:numId="299">
    <w:abstractNumId w:val="290"/>
  </w:num>
  <w:num w:numId="300">
    <w:abstractNumId w:val="454"/>
  </w:num>
  <w:num w:numId="301">
    <w:abstractNumId w:val="251"/>
  </w:num>
  <w:num w:numId="302">
    <w:abstractNumId w:val="362"/>
  </w:num>
  <w:num w:numId="303">
    <w:abstractNumId w:val="491"/>
  </w:num>
  <w:num w:numId="304">
    <w:abstractNumId w:val="447"/>
  </w:num>
  <w:num w:numId="305">
    <w:abstractNumId w:val="202"/>
  </w:num>
  <w:num w:numId="306">
    <w:abstractNumId w:val="124"/>
  </w:num>
  <w:num w:numId="307">
    <w:abstractNumId w:val="553"/>
  </w:num>
  <w:num w:numId="308">
    <w:abstractNumId w:val="331"/>
  </w:num>
  <w:num w:numId="309">
    <w:abstractNumId w:val="502"/>
  </w:num>
  <w:num w:numId="310">
    <w:abstractNumId w:val="522"/>
  </w:num>
  <w:num w:numId="311">
    <w:abstractNumId w:val="262"/>
  </w:num>
  <w:num w:numId="312">
    <w:abstractNumId w:val="109"/>
  </w:num>
  <w:num w:numId="313">
    <w:abstractNumId w:val="69"/>
  </w:num>
  <w:num w:numId="314">
    <w:abstractNumId w:val="410"/>
  </w:num>
  <w:num w:numId="315">
    <w:abstractNumId w:val="518"/>
  </w:num>
  <w:num w:numId="316">
    <w:abstractNumId w:val="162"/>
  </w:num>
  <w:num w:numId="317">
    <w:abstractNumId w:val="85"/>
  </w:num>
  <w:num w:numId="318">
    <w:abstractNumId w:val="501"/>
  </w:num>
  <w:num w:numId="319">
    <w:abstractNumId w:val="573"/>
  </w:num>
  <w:num w:numId="320">
    <w:abstractNumId w:val="165"/>
  </w:num>
  <w:num w:numId="321">
    <w:abstractNumId w:val="7"/>
  </w:num>
  <w:num w:numId="322">
    <w:abstractNumId w:val="63"/>
  </w:num>
  <w:num w:numId="323">
    <w:abstractNumId w:val="343"/>
  </w:num>
  <w:num w:numId="324">
    <w:abstractNumId w:val="195"/>
  </w:num>
  <w:num w:numId="325">
    <w:abstractNumId w:val="142"/>
  </w:num>
  <w:num w:numId="326">
    <w:abstractNumId w:val="386"/>
  </w:num>
  <w:num w:numId="327">
    <w:abstractNumId w:val="361"/>
  </w:num>
  <w:num w:numId="328">
    <w:abstractNumId w:val="439"/>
  </w:num>
  <w:num w:numId="329">
    <w:abstractNumId w:val="493"/>
  </w:num>
  <w:num w:numId="330">
    <w:abstractNumId w:val="115"/>
  </w:num>
  <w:num w:numId="331">
    <w:abstractNumId w:val="170"/>
  </w:num>
  <w:num w:numId="332">
    <w:abstractNumId w:val="441"/>
  </w:num>
  <w:num w:numId="333">
    <w:abstractNumId w:val="546"/>
  </w:num>
  <w:num w:numId="334">
    <w:abstractNumId w:val="208"/>
  </w:num>
  <w:num w:numId="335">
    <w:abstractNumId w:val="329"/>
  </w:num>
  <w:num w:numId="336">
    <w:abstractNumId w:val="310"/>
  </w:num>
  <w:num w:numId="337">
    <w:abstractNumId w:val="347"/>
  </w:num>
  <w:num w:numId="338">
    <w:abstractNumId w:val="152"/>
  </w:num>
  <w:num w:numId="339">
    <w:abstractNumId w:val="416"/>
  </w:num>
  <w:num w:numId="340">
    <w:abstractNumId w:val="489"/>
  </w:num>
  <w:num w:numId="341">
    <w:abstractNumId w:val="139"/>
  </w:num>
  <w:num w:numId="342">
    <w:abstractNumId w:val="76"/>
  </w:num>
  <w:num w:numId="343">
    <w:abstractNumId w:val="520"/>
  </w:num>
  <w:num w:numId="344">
    <w:abstractNumId w:val="138"/>
  </w:num>
  <w:num w:numId="345">
    <w:abstractNumId w:val="383"/>
  </w:num>
  <w:num w:numId="346">
    <w:abstractNumId w:val="444"/>
  </w:num>
  <w:num w:numId="347">
    <w:abstractNumId w:val="272"/>
  </w:num>
  <w:num w:numId="348">
    <w:abstractNumId w:val="172"/>
  </w:num>
  <w:num w:numId="349">
    <w:abstractNumId w:val="359"/>
  </w:num>
  <w:num w:numId="350">
    <w:abstractNumId w:val="231"/>
  </w:num>
  <w:num w:numId="351">
    <w:abstractNumId w:val="94"/>
  </w:num>
  <w:num w:numId="352">
    <w:abstractNumId w:val="438"/>
  </w:num>
  <w:num w:numId="353">
    <w:abstractNumId w:val="245"/>
  </w:num>
  <w:num w:numId="354">
    <w:abstractNumId w:val="303"/>
  </w:num>
  <w:num w:numId="355">
    <w:abstractNumId w:val="107"/>
  </w:num>
  <w:num w:numId="356">
    <w:abstractNumId w:val="533"/>
  </w:num>
  <w:num w:numId="357">
    <w:abstractNumId w:val="377"/>
  </w:num>
  <w:num w:numId="358">
    <w:abstractNumId w:val="88"/>
  </w:num>
  <w:num w:numId="359">
    <w:abstractNumId w:val="203"/>
  </w:num>
  <w:num w:numId="360">
    <w:abstractNumId w:val="43"/>
  </w:num>
  <w:num w:numId="361">
    <w:abstractNumId w:val="547"/>
  </w:num>
  <w:num w:numId="362">
    <w:abstractNumId w:val="503"/>
  </w:num>
  <w:num w:numId="363">
    <w:abstractNumId w:val="56"/>
  </w:num>
  <w:num w:numId="364">
    <w:abstractNumId w:val="564"/>
  </w:num>
  <w:num w:numId="365">
    <w:abstractNumId w:val="287"/>
  </w:num>
  <w:num w:numId="366">
    <w:abstractNumId w:val="523"/>
  </w:num>
  <w:num w:numId="367">
    <w:abstractNumId w:val="150"/>
  </w:num>
  <w:num w:numId="368">
    <w:abstractNumId w:val="168"/>
  </w:num>
  <w:num w:numId="369">
    <w:abstractNumId w:val="19"/>
  </w:num>
  <w:num w:numId="370">
    <w:abstractNumId w:val="566"/>
  </w:num>
  <w:num w:numId="371">
    <w:abstractNumId w:val="91"/>
  </w:num>
  <w:num w:numId="372">
    <w:abstractNumId w:val="105"/>
  </w:num>
  <w:num w:numId="373">
    <w:abstractNumId w:val="143"/>
  </w:num>
  <w:num w:numId="374">
    <w:abstractNumId w:val="268"/>
  </w:num>
  <w:num w:numId="375">
    <w:abstractNumId w:val="38"/>
  </w:num>
  <w:num w:numId="376">
    <w:abstractNumId w:val="535"/>
  </w:num>
  <w:num w:numId="377">
    <w:abstractNumId w:val="483"/>
  </w:num>
  <w:num w:numId="378">
    <w:abstractNumId w:val="525"/>
  </w:num>
  <w:num w:numId="379">
    <w:abstractNumId w:val="204"/>
  </w:num>
  <w:num w:numId="380">
    <w:abstractNumId w:val="569"/>
  </w:num>
  <w:num w:numId="381">
    <w:abstractNumId w:val="395"/>
  </w:num>
  <w:num w:numId="382">
    <w:abstractNumId w:val="167"/>
  </w:num>
  <w:num w:numId="383">
    <w:abstractNumId w:val="11"/>
  </w:num>
  <w:num w:numId="384">
    <w:abstractNumId w:val="161"/>
  </w:num>
  <w:num w:numId="385">
    <w:abstractNumId w:val="8"/>
  </w:num>
  <w:num w:numId="386">
    <w:abstractNumId w:val="228"/>
  </w:num>
  <w:num w:numId="387">
    <w:abstractNumId w:val="560"/>
  </w:num>
  <w:num w:numId="388">
    <w:abstractNumId w:val="378"/>
  </w:num>
  <w:num w:numId="389">
    <w:abstractNumId w:val="58"/>
  </w:num>
  <w:num w:numId="390">
    <w:abstractNumId w:val="42"/>
  </w:num>
  <w:num w:numId="391">
    <w:abstractNumId w:val="403"/>
  </w:num>
  <w:num w:numId="392">
    <w:abstractNumId w:val="266"/>
  </w:num>
  <w:num w:numId="393">
    <w:abstractNumId w:val="465"/>
  </w:num>
  <w:num w:numId="394">
    <w:abstractNumId w:val="351"/>
  </w:num>
  <w:num w:numId="395">
    <w:abstractNumId w:val="9"/>
  </w:num>
  <w:num w:numId="396">
    <w:abstractNumId w:val="36"/>
  </w:num>
  <w:num w:numId="397">
    <w:abstractNumId w:val="394"/>
  </w:num>
  <w:num w:numId="398">
    <w:abstractNumId w:val="100"/>
  </w:num>
  <w:num w:numId="399">
    <w:abstractNumId w:val="475"/>
  </w:num>
  <w:num w:numId="400">
    <w:abstractNumId w:val="558"/>
  </w:num>
  <w:num w:numId="401">
    <w:abstractNumId w:val="517"/>
  </w:num>
  <w:num w:numId="402">
    <w:abstractNumId w:val="136"/>
  </w:num>
  <w:num w:numId="403">
    <w:abstractNumId w:val="294"/>
  </w:num>
  <w:num w:numId="404">
    <w:abstractNumId w:val="458"/>
  </w:num>
  <w:num w:numId="405">
    <w:abstractNumId w:val="540"/>
  </w:num>
  <w:num w:numId="406">
    <w:abstractNumId w:val="420"/>
  </w:num>
  <w:num w:numId="407">
    <w:abstractNumId w:val="586"/>
  </w:num>
  <w:num w:numId="408">
    <w:abstractNumId w:val="328"/>
  </w:num>
  <w:num w:numId="409">
    <w:abstractNumId w:val="194"/>
  </w:num>
  <w:num w:numId="410">
    <w:abstractNumId w:val="365"/>
  </w:num>
  <w:num w:numId="411">
    <w:abstractNumId w:val="2"/>
  </w:num>
  <w:num w:numId="412">
    <w:abstractNumId w:val="4"/>
  </w:num>
  <w:num w:numId="413">
    <w:abstractNumId w:val="469"/>
  </w:num>
  <w:num w:numId="414">
    <w:abstractNumId w:val="78"/>
  </w:num>
  <w:num w:numId="415">
    <w:abstractNumId w:val="340"/>
  </w:num>
  <w:num w:numId="416">
    <w:abstractNumId w:val="417"/>
  </w:num>
  <w:num w:numId="417">
    <w:abstractNumId w:val="79"/>
  </w:num>
  <w:num w:numId="418">
    <w:abstractNumId w:val="486"/>
  </w:num>
  <w:num w:numId="419">
    <w:abstractNumId w:val="585"/>
  </w:num>
  <w:num w:numId="420">
    <w:abstractNumId w:val="550"/>
  </w:num>
  <w:num w:numId="421">
    <w:abstractNumId w:val="237"/>
  </w:num>
  <w:num w:numId="422">
    <w:abstractNumId w:val="49"/>
  </w:num>
  <w:num w:numId="423">
    <w:abstractNumId w:val="95"/>
  </w:num>
  <w:num w:numId="424">
    <w:abstractNumId w:val="427"/>
  </w:num>
  <w:num w:numId="425">
    <w:abstractNumId w:val="141"/>
  </w:num>
  <w:num w:numId="426">
    <w:abstractNumId w:val="220"/>
  </w:num>
  <w:num w:numId="427">
    <w:abstractNumId w:val="253"/>
  </w:num>
  <w:num w:numId="428">
    <w:abstractNumId w:val="163"/>
  </w:num>
  <w:num w:numId="429">
    <w:abstractNumId w:val="509"/>
  </w:num>
  <w:num w:numId="430">
    <w:abstractNumId w:val="415"/>
  </w:num>
  <w:num w:numId="431">
    <w:abstractNumId w:val="453"/>
  </w:num>
  <w:num w:numId="432">
    <w:abstractNumId w:val="459"/>
  </w:num>
  <w:num w:numId="433">
    <w:abstractNumId w:val="178"/>
  </w:num>
  <w:num w:numId="434">
    <w:abstractNumId w:val="317"/>
  </w:num>
  <w:num w:numId="435">
    <w:abstractNumId w:val="154"/>
  </w:num>
  <w:num w:numId="436">
    <w:abstractNumId w:val="572"/>
  </w:num>
  <w:num w:numId="437">
    <w:abstractNumId w:val="20"/>
  </w:num>
  <w:num w:numId="438">
    <w:abstractNumId w:val="470"/>
  </w:num>
  <w:num w:numId="439">
    <w:abstractNumId w:val="280"/>
  </w:num>
  <w:num w:numId="440">
    <w:abstractNumId w:val="307"/>
  </w:num>
  <w:num w:numId="441">
    <w:abstractNumId w:val="175"/>
  </w:num>
  <w:num w:numId="442">
    <w:abstractNumId w:val="112"/>
  </w:num>
  <w:num w:numId="443">
    <w:abstractNumId w:val="519"/>
  </w:num>
  <w:num w:numId="444">
    <w:abstractNumId w:val="243"/>
  </w:num>
  <w:num w:numId="445">
    <w:abstractNumId w:val="151"/>
  </w:num>
  <w:num w:numId="446">
    <w:abstractNumId w:val="513"/>
  </w:num>
  <w:num w:numId="447">
    <w:abstractNumId w:val="418"/>
  </w:num>
  <w:num w:numId="448">
    <w:abstractNumId w:val="177"/>
  </w:num>
  <w:num w:numId="449">
    <w:abstractNumId w:val="407"/>
  </w:num>
  <w:num w:numId="450">
    <w:abstractNumId w:val="128"/>
  </w:num>
  <w:num w:numId="451">
    <w:abstractNumId w:val="227"/>
  </w:num>
  <w:num w:numId="452">
    <w:abstractNumId w:val="413"/>
  </w:num>
  <w:num w:numId="453">
    <w:abstractNumId w:val="319"/>
  </w:num>
  <w:num w:numId="454">
    <w:abstractNumId w:val="404"/>
  </w:num>
  <w:num w:numId="455">
    <w:abstractNumId w:val="318"/>
  </w:num>
  <w:num w:numId="456">
    <w:abstractNumId w:val="135"/>
  </w:num>
  <w:num w:numId="457">
    <w:abstractNumId w:val="246"/>
  </w:num>
  <w:num w:numId="458">
    <w:abstractNumId w:val="221"/>
  </w:num>
  <w:num w:numId="459">
    <w:abstractNumId w:val="117"/>
  </w:num>
  <w:num w:numId="460">
    <w:abstractNumId w:val="225"/>
  </w:num>
  <w:num w:numId="461">
    <w:abstractNumId w:val="181"/>
  </w:num>
  <w:num w:numId="462">
    <w:abstractNumId w:val="562"/>
  </w:num>
  <w:num w:numId="463">
    <w:abstractNumId w:val="468"/>
  </w:num>
  <w:num w:numId="464">
    <w:abstractNumId w:val="267"/>
  </w:num>
  <w:num w:numId="465">
    <w:abstractNumId w:val="450"/>
  </w:num>
  <w:num w:numId="466">
    <w:abstractNumId w:val="261"/>
  </w:num>
  <w:num w:numId="467">
    <w:abstractNumId w:val="304"/>
  </w:num>
  <w:num w:numId="468">
    <w:abstractNumId w:val="1"/>
  </w:num>
  <w:num w:numId="469">
    <w:abstractNumId w:val="46"/>
  </w:num>
  <w:num w:numId="470">
    <w:abstractNumId w:val="82"/>
  </w:num>
  <w:num w:numId="471">
    <w:abstractNumId w:val="309"/>
  </w:num>
  <w:num w:numId="472">
    <w:abstractNumId w:val="10"/>
  </w:num>
  <w:num w:numId="473">
    <w:abstractNumId w:val="510"/>
  </w:num>
  <w:num w:numId="474">
    <w:abstractNumId w:val="432"/>
  </w:num>
  <w:num w:numId="475">
    <w:abstractNumId w:val="436"/>
  </w:num>
  <w:num w:numId="476">
    <w:abstractNumId w:val="17"/>
  </w:num>
  <w:num w:numId="477">
    <w:abstractNumId w:val="106"/>
  </w:num>
  <w:num w:numId="478">
    <w:abstractNumId w:val="308"/>
  </w:num>
  <w:num w:numId="479">
    <w:abstractNumId w:val="412"/>
  </w:num>
  <w:num w:numId="480">
    <w:abstractNumId w:val="545"/>
  </w:num>
  <w:num w:numId="481">
    <w:abstractNumId w:val="235"/>
  </w:num>
  <w:num w:numId="482">
    <w:abstractNumId w:val="62"/>
  </w:num>
  <w:num w:numId="483">
    <w:abstractNumId w:val="12"/>
  </w:num>
  <w:num w:numId="484">
    <w:abstractNumId w:val="356"/>
  </w:num>
  <w:num w:numId="485">
    <w:abstractNumId w:val="98"/>
  </w:num>
  <w:num w:numId="486">
    <w:abstractNumId w:val="275"/>
  </w:num>
  <w:num w:numId="487">
    <w:abstractNumId w:val="506"/>
  </w:num>
  <w:num w:numId="488">
    <w:abstractNumId w:val="590"/>
  </w:num>
  <w:num w:numId="489">
    <w:abstractNumId w:val="430"/>
  </w:num>
  <w:num w:numId="490">
    <w:abstractNumId w:val="476"/>
  </w:num>
  <w:num w:numId="491">
    <w:abstractNumId w:val="411"/>
  </w:num>
  <w:num w:numId="492">
    <w:abstractNumId w:val="255"/>
  </w:num>
  <w:num w:numId="493">
    <w:abstractNumId w:val="531"/>
  </w:num>
  <w:num w:numId="494">
    <w:abstractNumId w:val="342"/>
  </w:num>
  <w:num w:numId="495">
    <w:abstractNumId w:val="337"/>
  </w:num>
  <w:num w:numId="496">
    <w:abstractNumId w:val="497"/>
  </w:num>
  <w:num w:numId="497">
    <w:abstractNumId w:val="123"/>
  </w:num>
  <w:num w:numId="498">
    <w:abstractNumId w:val="284"/>
  </w:num>
  <w:num w:numId="499">
    <w:abstractNumId w:val="187"/>
  </w:num>
  <w:num w:numId="500">
    <w:abstractNumId w:val="559"/>
  </w:num>
  <w:num w:numId="501">
    <w:abstractNumId w:val="305"/>
  </w:num>
  <w:num w:numId="502">
    <w:abstractNumId w:val="214"/>
  </w:num>
  <w:num w:numId="503">
    <w:abstractNumId w:val="37"/>
  </w:num>
  <w:num w:numId="504">
    <w:abstractNumId w:val="376"/>
  </w:num>
  <w:num w:numId="505">
    <w:abstractNumId w:val="297"/>
  </w:num>
  <w:num w:numId="506">
    <w:abstractNumId w:val="130"/>
  </w:num>
  <w:num w:numId="507">
    <w:abstractNumId w:val="496"/>
  </w:num>
  <w:num w:numId="508">
    <w:abstractNumId w:val="89"/>
  </w:num>
  <w:num w:numId="509">
    <w:abstractNumId w:val="125"/>
  </w:num>
  <w:num w:numId="510">
    <w:abstractNumId w:val="367"/>
  </w:num>
  <w:num w:numId="511">
    <w:abstractNumId w:val="512"/>
  </w:num>
  <w:num w:numId="512">
    <w:abstractNumId w:val="47"/>
  </w:num>
  <w:num w:numId="513">
    <w:abstractNumId w:val="25"/>
  </w:num>
  <w:num w:numId="514">
    <w:abstractNumId w:val="3"/>
  </w:num>
  <w:num w:numId="515">
    <w:abstractNumId w:val="369"/>
  </w:num>
  <w:num w:numId="516">
    <w:abstractNumId w:val="457"/>
  </w:num>
  <w:num w:numId="517">
    <w:abstractNumId w:val="184"/>
  </w:num>
  <w:num w:numId="518">
    <w:abstractNumId w:val="216"/>
  </w:num>
  <w:num w:numId="519">
    <w:abstractNumId w:val="422"/>
  </w:num>
  <w:num w:numId="520">
    <w:abstractNumId w:val="368"/>
  </w:num>
  <w:num w:numId="521">
    <w:abstractNumId w:val="18"/>
  </w:num>
  <w:num w:numId="522">
    <w:abstractNumId w:val="325"/>
  </w:num>
  <w:num w:numId="523">
    <w:abstractNumId w:val="355"/>
  </w:num>
  <w:num w:numId="524">
    <w:abstractNumId w:val="372"/>
  </w:num>
  <w:num w:numId="525">
    <w:abstractNumId w:val="64"/>
  </w:num>
  <w:num w:numId="526">
    <w:abstractNumId w:val="111"/>
  </w:num>
  <w:num w:numId="527">
    <w:abstractNumId w:val="71"/>
  </w:num>
  <w:num w:numId="528">
    <w:abstractNumId w:val="440"/>
  </w:num>
  <w:num w:numId="529">
    <w:abstractNumId w:val="41"/>
  </w:num>
  <w:num w:numId="530">
    <w:abstractNumId w:val="263"/>
  </w:num>
  <w:num w:numId="531">
    <w:abstractNumId w:val="366"/>
  </w:num>
  <w:num w:numId="532">
    <w:abstractNumId w:val="557"/>
  </w:num>
  <w:num w:numId="533">
    <w:abstractNumId w:val="505"/>
  </w:num>
  <w:num w:numId="534">
    <w:abstractNumId w:val="271"/>
  </w:num>
  <w:num w:numId="535">
    <w:abstractNumId w:val="492"/>
  </w:num>
  <w:num w:numId="536">
    <w:abstractNumId w:val="28"/>
  </w:num>
  <w:num w:numId="537">
    <w:abstractNumId w:val="561"/>
  </w:num>
  <w:num w:numId="538">
    <w:abstractNumId w:val="433"/>
  </w:num>
  <w:num w:numId="539">
    <w:abstractNumId w:val="474"/>
  </w:num>
  <w:num w:numId="540">
    <w:abstractNumId w:val="230"/>
  </w:num>
  <w:num w:numId="541">
    <w:abstractNumId w:val="250"/>
  </w:num>
  <w:num w:numId="542">
    <w:abstractNumId w:val="289"/>
  </w:num>
  <w:num w:numId="543">
    <w:abstractNumId w:val="396"/>
  </w:num>
  <w:num w:numId="544">
    <w:abstractNumId w:val="233"/>
  </w:num>
  <w:num w:numId="545">
    <w:abstractNumId w:val="401"/>
  </w:num>
  <w:num w:numId="546">
    <w:abstractNumId w:val="587"/>
  </w:num>
  <w:num w:numId="547">
    <w:abstractNumId w:val="217"/>
  </w:num>
  <w:num w:numId="548">
    <w:abstractNumId w:val="434"/>
  </w:num>
  <w:num w:numId="549">
    <w:abstractNumId w:val="552"/>
  </w:num>
  <w:num w:numId="550">
    <w:abstractNumId w:val="44"/>
  </w:num>
  <w:num w:numId="551">
    <w:abstractNumId w:val="507"/>
  </w:num>
  <w:num w:numId="552">
    <w:abstractNumId w:val="103"/>
  </w:num>
  <w:num w:numId="553">
    <w:abstractNumId w:val="514"/>
  </w:num>
  <w:num w:numId="554">
    <w:abstractNumId w:val="452"/>
  </w:num>
  <w:num w:numId="555">
    <w:abstractNumId w:val="146"/>
  </w:num>
  <w:num w:numId="556">
    <w:abstractNumId w:val="70"/>
  </w:num>
  <w:num w:numId="557">
    <w:abstractNumId w:val="425"/>
  </w:num>
  <w:num w:numId="558">
    <w:abstractNumId w:val="348"/>
  </w:num>
  <w:num w:numId="559">
    <w:abstractNumId w:val="193"/>
  </w:num>
  <w:num w:numId="560">
    <w:abstractNumId w:val="101"/>
  </w:num>
  <w:num w:numId="561">
    <w:abstractNumId w:val="563"/>
  </w:num>
  <w:num w:numId="562">
    <w:abstractNumId w:val="119"/>
  </w:num>
  <w:num w:numId="563">
    <w:abstractNumId w:val="291"/>
  </w:num>
  <w:num w:numId="564">
    <w:abstractNumId w:val="568"/>
  </w:num>
  <w:num w:numId="565">
    <w:abstractNumId w:val="157"/>
  </w:num>
  <w:num w:numId="566">
    <w:abstractNumId w:val="50"/>
  </w:num>
  <w:num w:numId="567">
    <w:abstractNumId w:val="583"/>
  </w:num>
  <w:num w:numId="568">
    <w:abstractNumId w:val="431"/>
  </w:num>
  <w:num w:numId="569">
    <w:abstractNumId w:val="281"/>
  </w:num>
  <w:num w:numId="570">
    <w:abstractNumId w:val="532"/>
  </w:num>
  <w:num w:numId="571">
    <w:abstractNumId w:val="390"/>
  </w:num>
  <w:num w:numId="572">
    <w:abstractNumId w:val="480"/>
  </w:num>
  <w:num w:numId="573">
    <w:abstractNumId w:val="402"/>
  </w:num>
  <w:num w:numId="574">
    <w:abstractNumId w:val="0"/>
  </w:num>
  <w:num w:numId="575">
    <w:abstractNumId w:val="15"/>
  </w:num>
  <w:num w:numId="576">
    <w:abstractNumId w:val="298"/>
  </w:num>
  <w:num w:numId="577">
    <w:abstractNumId w:val="53"/>
  </w:num>
  <w:num w:numId="578">
    <w:abstractNumId w:val="456"/>
  </w:num>
  <w:num w:numId="579">
    <w:abstractNumId w:val="571"/>
  </w:num>
  <w:num w:numId="580">
    <w:abstractNumId w:val="581"/>
  </w:num>
  <w:num w:numId="581">
    <w:abstractNumId w:val="196"/>
  </w:num>
  <w:num w:numId="582">
    <w:abstractNumId w:val="66"/>
  </w:num>
  <w:num w:numId="583">
    <w:abstractNumId w:val="239"/>
  </w:num>
  <w:num w:numId="584">
    <w:abstractNumId w:val="333"/>
  </w:num>
  <w:num w:numId="585">
    <w:abstractNumId w:val="209"/>
  </w:num>
  <w:num w:numId="586">
    <w:abstractNumId w:val="463"/>
  </w:num>
  <w:num w:numId="587">
    <w:abstractNumId w:val="283"/>
  </w:num>
  <w:num w:numId="588">
    <w:abstractNumId w:val="424"/>
  </w:num>
  <w:num w:numId="589">
    <w:abstractNumId w:val="222"/>
  </w:num>
  <w:num w:numId="590">
    <w:abstractNumId w:val="344"/>
  </w:num>
  <w:num w:numId="591">
    <w:abstractNumId w:val="406"/>
  </w:num>
  <w:numIdMacAtCleanup w:val="5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saveSubsetFonts/>
  <w:mirrorMargins/>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C11"/>
    <w:rsid w:val="00004628"/>
    <w:rsid w:val="0000649B"/>
    <w:rsid w:val="00016D6A"/>
    <w:rsid w:val="00024937"/>
    <w:rsid w:val="00027731"/>
    <w:rsid w:val="00056E1C"/>
    <w:rsid w:val="000778D5"/>
    <w:rsid w:val="00090983"/>
    <w:rsid w:val="00096F8F"/>
    <w:rsid w:val="00097073"/>
    <w:rsid w:val="00097D62"/>
    <w:rsid w:val="000B0758"/>
    <w:rsid w:val="000B2325"/>
    <w:rsid w:val="000C0382"/>
    <w:rsid w:val="000C05FF"/>
    <w:rsid w:val="000C100E"/>
    <w:rsid w:val="000D19ED"/>
    <w:rsid w:val="000D4091"/>
    <w:rsid w:val="000E2120"/>
    <w:rsid w:val="000F409C"/>
    <w:rsid w:val="000F4A24"/>
    <w:rsid w:val="00101DB8"/>
    <w:rsid w:val="0011656B"/>
    <w:rsid w:val="00116D64"/>
    <w:rsid w:val="00121292"/>
    <w:rsid w:val="00141719"/>
    <w:rsid w:val="00160D8F"/>
    <w:rsid w:val="00182D91"/>
    <w:rsid w:val="0019405E"/>
    <w:rsid w:val="00194A16"/>
    <w:rsid w:val="001954E6"/>
    <w:rsid w:val="001A1EB6"/>
    <w:rsid w:val="001B6B14"/>
    <w:rsid w:val="001B6D02"/>
    <w:rsid w:val="001C12E6"/>
    <w:rsid w:val="001D29F2"/>
    <w:rsid w:val="001E1197"/>
    <w:rsid w:val="001E366F"/>
    <w:rsid w:val="00204BDE"/>
    <w:rsid w:val="00205EF9"/>
    <w:rsid w:val="00214C78"/>
    <w:rsid w:val="002223A6"/>
    <w:rsid w:val="002322E2"/>
    <w:rsid w:val="00236782"/>
    <w:rsid w:val="00241E55"/>
    <w:rsid w:val="002446EB"/>
    <w:rsid w:val="00245878"/>
    <w:rsid w:val="002557A0"/>
    <w:rsid w:val="00256167"/>
    <w:rsid w:val="00273731"/>
    <w:rsid w:val="00273EB3"/>
    <w:rsid w:val="00282F0A"/>
    <w:rsid w:val="00285A82"/>
    <w:rsid w:val="00297C58"/>
    <w:rsid w:val="002A4207"/>
    <w:rsid w:val="002D37D5"/>
    <w:rsid w:val="002F3226"/>
    <w:rsid w:val="002F49DA"/>
    <w:rsid w:val="0030492E"/>
    <w:rsid w:val="003112B9"/>
    <w:rsid w:val="00316798"/>
    <w:rsid w:val="00330D7C"/>
    <w:rsid w:val="00333347"/>
    <w:rsid w:val="00334573"/>
    <w:rsid w:val="00343F44"/>
    <w:rsid w:val="0034447A"/>
    <w:rsid w:val="00364CAE"/>
    <w:rsid w:val="00385415"/>
    <w:rsid w:val="00392762"/>
    <w:rsid w:val="003A49A6"/>
    <w:rsid w:val="003B2293"/>
    <w:rsid w:val="003F61F5"/>
    <w:rsid w:val="00424979"/>
    <w:rsid w:val="004377A3"/>
    <w:rsid w:val="00446D8B"/>
    <w:rsid w:val="00456F1C"/>
    <w:rsid w:val="00464BF9"/>
    <w:rsid w:val="00466386"/>
    <w:rsid w:val="00467A68"/>
    <w:rsid w:val="00480A0E"/>
    <w:rsid w:val="00492D01"/>
    <w:rsid w:val="004B159E"/>
    <w:rsid w:val="004B3B35"/>
    <w:rsid w:val="004B3B46"/>
    <w:rsid w:val="004C0A78"/>
    <w:rsid w:val="004E60BC"/>
    <w:rsid w:val="00502F01"/>
    <w:rsid w:val="005046DB"/>
    <w:rsid w:val="00507F79"/>
    <w:rsid w:val="005163B6"/>
    <w:rsid w:val="005242F7"/>
    <w:rsid w:val="00534085"/>
    <w:rsid w:val="0054437E"/>
    <w:rsid w:val="00547F2F"/>
    <w:rsid w:val="005526C2"/>
    <w:rsid w:val="00557769"/>
    <w:rsid w:val="0056406C"/>
    <w:rsid w:val="00565E6C"/>
    <w:rsid w:val="0057360A"/>
    <w:rsid w:val="005739DC"/>
    <w:rsid w:val="00583FC2"/>
    <w:rsid w:val="005B45B0"/>
    <w:rsid w:val="005D5D00"/>
    <w:rsid w:val="005E0BF2"/>
    <w:rsid w:val="005E7192"/>
    <w:rsid w:val="005E77F1"/>
    <w:rsid w:val="005F3342"/>
    <w:rsid w:val="005F72C2"/>
    <w:rsid w:val="00611FE2"/>
    <w:rsid w:val="00624D0E"/>
    <w:rsid w:val="00625137"/>
    <w:rsid w:val="00625255"/>
    <w:rsid w:val="00662E8F"/>
    <w:rsid w:val="00680FF4"/>
    <w:rsid w:val="0068251E"/>
    <w:rsid w:val="00686E29"/>
    <w:rsid w:val="006C09C0"/>
    <w:rsid w:val="006C7EDB"/>
    <w:rsid w:val="006D20D5"/>
    <w:rsid w:val="006E6487"/>
    <w:rsid w:val="006E7D34"/>
    <w:rsid w:val="006F01C0"/>
    <w:rsid w:val="006F01D6"/>
    <w:rsid w:val="00714222"/>
    <w:rsid w:val="007207EB"/>
    <w:rsid w:val="00727A3C"/>
    <w:rsid w:val="00733538"/>
    <w:rsid w:val="00741888"/>
    <w:rsid w:val="00742CAE"/>
    <w:rsid w:val="00753EB1"/>
    <w:rsid w:val="00756650"/>
    <w:rsid w:val="007617EC"/>
    <w:rsid w:val="00792674"/>
    <w:rsid w:val="0079395B"/>
    <w:rsid w:val="00795108"/>
    <w:rsid w:val="007B4ABA"/>
    <w:rsid w:val="007C545A"/>
    <w:rsid w:val="007C6EB2"/>
    <w:rsid w:val="007C74E1"/>
    <w:rsid w:val="007D1FE8"/>
    <w:rsid w:val="007D5E33"/>
    <w:rsid w:val="007E3F45"/>
    <w:rsid w:val="007E4F09"/>
    <w:rsid w:val="007F6E8F"/>
    <w:rsid w:val="00805552"/>
    <w:rsid w:val="00823620"/>
    <w:rsid w:val="0082626E"/>
    <w:rsid w:val="00826EC8"/>
    <w:rsid w:val="00833608"/>
    <w:rsid w:val="00836638"/>
    <w:rsid w:val="00844E50"/>
    <w:rsid w:val="008528E0"/>
    <w:rsid w:val="008726B6"/>
    <w:rsid w:val="008A0273"/>
    <w:rsid w:val="008B2ABD"/>
    <w:rsid w:val="008B71CD"/>
    <w:rsid w:val="008C1796"/>
    <w:rsid w:val="008C3B0A"/>
    <w:rsid w:val="008E37C5"/>
    <w:rsid w:val="008E4957"/>
    <w:rsid w:val="008F0928"/>
    <w:rsid w:val="00911362"/>
    <w:rsid w:val="00917322"/>
    <w:rsid w:val="00924A4F"/>
    <w:rsid w:val="009312AF"/>
    <w:rsid w:val="00935A04"/>
    <w:rsid w:val="00935C3B"/>
    <w:rsid w:val="009369A9"/>
    <w:rsid w:val="00943CBA"/>
    <w:rsid w:val="00947B56"/>
    <w:rsid w:val="0095082A"/>
    <w:rsid w:val="00961ABE"/>
    <w:rsid w:val="009709EC"/>
    <w:rsid w:val="00973F2A"/>
    <w:rsid w:val="009836FA"/>
    <w:rsid w:val="009972D5"/>
    <w:rsid w:val="009B6F19"/>
    <w:rsid w:val="009D028F"/>
    <w:rsid w:val="009E1A54"/>
    <w:rsid w:val="009F652D"/>
    <w:rsid w:val="00A14EA8"/>
    <w:rsid w:val="00A16D01"/>
    <w:rsid w:val="00A34155"/>
    <w:rsid w:val="00A57053"/>
    <w:rsid w:val="00A6576A"/>
    <w:rsid w:val="00A6642C"/>
    <w:rsid w:val="00A749C8"/>
    <w:rsid w:val="00A75ABA"/>
    <w:rsid w:val="00A86FCE"/>
    <w:rsid w:val="00A9016A"/>
    <w:rsid w:val="00A9456E"/>
    <w:rsid w:val="00AA2525"/>
    <w:rsid w:val="00AC1BED"/>
    <w:rsid w:val="00AC2AD6"/>
    <w:rsid w:val="00AE7139"/>
    <w:rsid w:val="00B0279D"/>
    <w:rsid w:val="00B172AC"/>
    <w:rsid w:val="00B2178B"/>
    <w:rsid w:val="00B235B9"/>
    <w:rsid w:val="00B3046E"/>
    <w:rsid w:val="00B3784B"/>
    <w:rsid w:val="00B43694"/>
    <w:rsid w:val="00B445FD"/>
    <w:rsid w:val="00B55E43"/>
    <w:rsid w:val="00B6655C"/>
    <w:rsid w:val="00B713CA"/>
    <w:rsid w:val="00B71715"/>
    <w:rsid w:val="00BA1A3E"/>
    <w:rsid w:val="00BA2659"/>
    <w:rsid w:val="00BB5C00"/>
    <w:rsid w:val="00BF2B4E"/>
    <w:rsid w:val="00BF53F6"/>
    <w:rsid w:val="00C00EB6"/>
    <w:rsid w:val="00C17CE0"/>
    <w:rsid w:val="00C304F2"/>
    <w:rsid w:val="00C33C92"/>
    <w:rsid w:val="00C40252"/>
    <w:rsid w:val="00C41CBC"/>
    <w:rsid w:val="00C42825"/>
    <w:rsid w:val="00C607A0"/>
    <w:rsid w:val="00C6615A"/>
    <w:rsid w:val="00C81F6F"/>
    <w:rsid w:val="00CB1EAC"/>
    <w:rsid w:val="00CB33D5"/>
    <w:rsid w:val="00CC6785"/>
    <w:rsid w:val="00CC6B7E"/>
    <w:rsid w:val="00CD417B"/>
    <w:rsid w:val="00CD6BF6"/>
    <w:rsid w:val="00CE5082"/>
    <w:rsid w:val="00CF44D3"/>
    <w:rsid w:val="00CF5B2F"/>
    <w:rsid w:val="00CF5C93"/>
    <w:rsid w:val="00D17B98"/>
    <w:rsid w:val="00D23C35"/>
    <w:rsid w:val="00D23E3E"/>
    <w:rsid w:val="00D25014"/>
    <w:rsid w:val="00D548F1"/>
    <w:rsid w:val="00D64E0F"/>
    <w:rsid w:val="00D665E4"/>
    <w:rsid w:val="00D749FD"/>
    <w:rsid w:val="00D756CF"/>
    <w:rsid w:val="00D8545E"/>
    <w:rsid w:val="00DB6534"/>
    <w:rsid w:val="00DC4F8C"/>
    <w:rsid w:val="00DD0D6E"/>
    <w:rsid w:val="00DD1016"/>
    <w:rsid w:val="00DD5386"/>
    <w:rsid w:val="00DE2FF8"/>
    <w:rsid w:val="00DF156F"/>
    <w:rsid w:val="00E019DE"/>
    <w:rsid w:val="00E11E94"/>
    <w:rsid w:val="00E13B29"/>
    <w:rsid w:val="00E22A2A"/>
    <w:rsid w:val="00E246BC"/>
    <w:rsid w:val="00E305AF"/>
    <w:rsid w:val="00E43321"/>
    <w:rsid w:val="00E70BE0"/>
    <w:rsid w:val="00E974D3"/>
    <w:rsid w:val="00EA0B61"/>
    <w:rsid w:val="00EA4180"/>
    <w:rsid w:val="00EC0B76"/>
    <w:rsid w:val="00ED06D2"/>
    <w:rsid w:val="00EE2260"/>
    <w:rsid w:val="00EF1456"/>
    <w:rsid w:val="00EF49C2"/>
    <w:rsid w:val="00F02D4E"/>
    <w:rsid w:val="00F05C11"/>
    <w:rsid w:val="00F162EC"/>
    <w:rsid w:val="00F203FE"/>
    <w:rsid w:val="00F226A9"/>
    <w:rsid w:val="00F2297F"/>
    <w:rsid w:val="00F233F5"/>
    <w:rsid w:val="00F244ED"/>
    <w:rsid w:val="00F25DF1"/>
    <w:rsid w:val="00F3739E"/>
    <w:rsid w:val="00F54446"/>
    <w:rsid w:val="00F547D2"/>
    <w:rsid w:val="00F549C6"/>
    <w:rsid w:val="00F82EBD"/>
    <w:rsid w:val="00F91211"/>
    <w:rsid w:val="00FA51ED"/>
    <w:rsid w:val="00FB060B"/>
    <w:rsid w:val="00FC4560"/>
    <w:rsid w:val="00FC7BEF"/>
    <w:rsid w:val="00FD1E85"/>
    <w:rsid w:val="00FD4BA5"/>
    <w:rsid w:val="00FE04F1"/>
    <w:rsid w:val="00FE0CE8"/>
    <w:rsid w:val="00FE10AE"/>
    <w:rsid w:val="00FE593D"/>
    <w:rsid w:val="097F0CA5"/>
    <w:rsid w:val="0AB2D936"/>
    <w:rsid w:val="1310644D"/>
    <w:rsid w:val="15DE3627"/>
    <w:rsid w:val="1E2DE242"/>
    <w:rsid w:val="2265B025"/>
    <w:rsid w:val="2A5983B4"/>
    <w:rsid w:val="2C6D20BE"/>
    <w:rsid w:val="313151BF"/>
    <w:rsid w:val="36CFF5BA"/>
    <w:rsid w:val="39B6E210"/>
    <w:rsid w:val="3DB55CA7"/>
    <w:rsid w:val="3FBA70CA"/>
    <w:rsid w:val="45BC28BC"/>
    <w:rsid w:val="465B05CD"/>
    <w:rsid w:val="46F4DC96"/>
    <w:rsid w:val="478C344D"/>
    <w:rsid w:val="4AEBCB1C"/>
    <w:rsid w:val="681B6DB3"/>
    <w:rsid w:val="701909E8"/>
    <w:rsid w:val="73B66793"/>
    <w:rsid w:val="74C920F1"/>
    <w:rsid w:val="7F3BF09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B7F9C8"/>
  <w15:chartTrackingRefBased/>
  <w15:docId w15:val="{0B2776B5-E6DA-4BB7-8E02-6D97C3202F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709EC"/>
    <w:rPr>
      <w:sz w:val="24"/>
      <w:szCs w:val="24"/>
    </w:rPr>
  </w:style>
  <w:style w:type="paragraph" w:styleId="berschrift1">
    <w:name w:val="heading 1"/>
    <w:basedOn w:val="Standard"/>
    <w:next w:val="Standard"/>
    <w:link w:val="berschrift1Zchn"/>
    <w:uiPriority w:val="9"/>
    <w:qFormat/>
    <w:rsid w:val="009709EC"/>
    <w:pPr>
      <w:keepNext/>
      <w:spacing w:before="240" w:after="60"/>
      <w:outlineLvl w:val="0"/>
    </w:pPr>
    <w:rPr>
      <w:rFonts w:asciiTheme="majorHAnsi" w:eastAsiaTheme="majorEastAsia" w:hAnsiTheme="majorHAnsi" w:cstheme="majorBidi"/>
      <w:b/>
      <w:bCs/>
      <w:kern w:val="32"/>
      <w:sz w:val="32"/>
      <w:szCs w:val="32"/>
    </w:rPr>
  </w:style>
  <w:style w:type="paragraph" w:styleId="berschrift2">
    <w:name w:val="heading 2"/>
    <w:basedOn w:val="Standard"/>
    <w:next w:val="Standard"/>
    <w:link w:val="berschrift2Zchn"/>
    <w:uiPriority w:val="9"/>
    <w:unhideWhenUsed/>
    <w:qFormat/>
    <w:rsid w:val="009709EC"/>
    <w:pPr>
      <w:keepNext/>
      <w:spacing w:before="240" w:after="60"/>
      <w:outlineLvl w:val="1"/>
    </w:pPr>
    <w:rPr>
      <w:rFonts w:asciiTheme="majorHAnsi" w:eastAsiaTheme="majorEastAsia" w:hAnsiTheme="majorHAnsi"/>
      <w:b/>
      <w:bCs/>
      <w:i/>
      <w:iCs/>
      <w:sz w:val="28"/>
      <w:szCs w:val="28"/>
    </w:rPr>
  </w:style>
  <w:style w:type="paragraph" w:styleId="berschrift3">
    <w:name w:val="heading 3"/>
    <w:basedOn w:val="Standard"/>
    <w:next w:val="Standard"/>
    <w:link w:val="berschrift3Zchn"/>
    <w:uiPriority w:val="9"/>
    <w:unhideWhenUsed/>
    <w:qFormat/>
    <w:rsid w:val="009709EC"/>
    <w:pPr>
      <w:keepNext/>
      <w:spacing w:before="240" w:after="60"/>
      <w:outlineLvl w:val="2"/>
    </w:pPr>
    <w:rPr>
      <w:rFonts w:asciiTheme="majorHAnsi" w:eastAsiaTheme="majorEastAsia" w:hAnsiTheme="majorHAnsi"/>
      <w:b/>
      <w:bCs/>
      <w:sz w:val="26"/>
      <w:szCs w:val="26"/>
    </w:rPr>
  </w:style>
  <w:style w:type="paragraph" w:styleId="berschrift4">
    <w:name w:val="heading 4"/>
    <w:basedOn w:val="Standard"/>
    <w:next w:val="Standard"/>
    <w:link w:val="berschrift4Zchn"/>
    <w:uiPriority w:val="9"/>
    <w:unhideWhenUsed/>
    <w:qFormat/>
    <w:rsid w:val="009709EC"/>
    <w:pPr>
      <w:keepNext/>
      <w:spacing w:before="240" w:after="60"/>
      <w:outlineLvl w:val="3"/>
    </w:pPr>
    <w:rPr>
      <w:rFonts w:cstheme="majorBidi"/>
      <w:b/>
      <w:bCs/>
      <w:sz w:val="28"/>
      <w:szCs w:val="28"/>
    </w:rPr>
  </w:style>
  <w:style w:type="paragraph" w:styleId="berschrift5">
    <w:name w:val="heading 5"/>
    <w:basedOn w:val="Standard"/>
    <w:next w:val="Standard"/>
    <w:link w:val="berschrift5Zchn"/>
    <w:uiPriority w:val="9"/>
    <w:semiHidden/>
    <w:unhideWhenUsed/>
    <w:qFormat/>
    <w:rsid w:val="009709EC"/>
    <w:pPr>
      <w:spacing w:before="240" w:after="60"/>
      <w:outlineLvl w:val="4"/>
    </w:pPr>
    <w:rPr>
      <w:rFonts w:cstheme="majorBidi"/>
      <w:b/>
      <w:bCs/>
      <w:i/>
      <w:iCs/>
      <w:sz w:val="26"/>
      <w:szCs w:val="26"/>
    </w:rPr>
  </w:style>
  <w:style w:type="paragraph" w:styleId="berschrift6">
    <w:name w:val="heading 6"/>
    <w:basedOn w:val="Standard"/>
    <w:next w:val="Standard"/>
    <w:link w:val="berschrift6Zchn"/>
    <w:uiPriority w:val="9"/>
    <w:semiHidden/>
    <w:unhideWhenUsed/>
    <w:qFormat/>
    <w:rsid w:val="009709EC"/>
    <w:pPr>
      <w:spacing w:before="240" w:after="60"/>
      <w:outlineLvl w:val="5"/>
    </w:pPr>
    <w:rPr>
      <w:b/>
      <w:bCs/>
      <w:sz w:val="22"/>
      <w:szCs w:val="22"/>
    </w:rPr>
  </w:style>
  <w:style w:type="paragraph" w:styleId="berschrift7">
    <w:name w:val="heading 7"/>
    <w:basedOn w:val="Standard"/>
    <w:next w:val="Standard"/>
    <w:link w:val="berschrift7Zchn"/>
    <w:uiPriority w:val="9"/>
    <w:semiHidden/>
    <w:unhideWhenUsed/>
    <w:qFormat/>
    <w:rsid w:val="009709EC"/>
    <w:pPr>
      <w:spacing w:before="240" w:after="60"/>
      <w:outlineLvl w:val="6"/>
    </w:pPr>
  </w:style>
  <w:style w:type="paragraph" w:styleId="berschrift8">
    <w:name w:val="heading 8"/>
    <w:basedOn w:val="Standard"/>
    <w:next w:val="Standard"/>
    <w:link w:val="berschrift8Zchn"/>
    <w:uiPriority w:val="9"/>
    <w:semiHidden/>
    <w:unhideWhenUsed/>
    <w:qFormat/>
    <w:rsid w:val="009709EC"/>
    <w:pPr>
      <w:spacing w:before="240" w:after="60"/>
      <w:outlineLvl w:val="7"/>
    </w:pPr>
    <w:rPr>
      <w:i/>
      <w:iCs/>
    </w:rPr>
  </w:style>
  <w:style w:type="paragraph" w:styleId="berschrift9">
    <w:name w:val="heading 9"/>
    <w:basedOn w:val="Standard"/>
    <w:next w:val="Standard"/>
    <w:link w:val="berschrift9Zchn"/>
    <w:uiPriority w:val="9"/>
    <w:semiHidden/>
    <w:unhideWhenUsed/>
    <w:qFormat/>
    <w:rsid w:val="009709EC"/>
    <w:pPr>
      <w:spacing w:before="240" w:after="60"/>
      <w:outlineLvl w:val="8"/>
    </w:pPr>
    <w:rPr>
      <w:rFonts w:asciiTheme="majorHAnsi" w:eastAsiaTheme="majorEastAsia" w:hAnsiTheme="majorHAnsi"/>
      <w:sz w:val="22"/>
      <w:szCs w:val="22"/>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unhideWhenUsed/>
    <w:rsid w:val="00F05C11"/>
    <w:pPr>
      <w:spacing w:before="100" w:beforeAutospacing="1" w:after="100" w:afterAutospacing="1"/>
    </w:pPr>
    <w:rPr>
      <w:rFonts w:ascii="Times New Roman" w:eastAsia="Times New Roman" w:hAnsi="Times New Roman"/>
      <w:lang w:eastAsia="de-DE"/>
    </w:rPr>
  </w:style>
  <w:style w:type="character" w:styleId="Fett">
    <w:name w:val="Strong"/>
    <w:basedOn w:val="Absatz-Standardschriftart"/>
    <w:uiPriority w:val="22"/>
    <w:qFormat/>
    <w:rsid w:val="009709EC"/>
    <w:rPr>
      <w:b/>
      <w:bCs/>
    </w:rPr>
  </w:style>
  <w:style w:type="paragraph" w:styleId="Titel">
    <w:name w:val="Title"/>
    <w:basedOn w:val="Standard"/>
    <w:next w:val="Standard"/>
    <w:link w:val="TitelZchn"/>
    <w:uiPriority w:val="10"/>
    <w:qFormat/>
    <w:rsid w:val="009709EC"/>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elZchn">
    <w:name w:val="Titel Zchn"/>
    <w:basedOn w:val="Absatz-Standardschriftart"/>
    <w:link w:val="Titel"/>
    <w:uiPriority w:val="10"/>
    <w:rsid w:val="009709EC"/>
    <w:rPr>
      <w:rFonts w:asciiTheme="majorHAnsi" w:eastAsiaTheme="majorEastAsia" w:hAnsiTheme="majorHAnsi" w:cstheme="majorBidi"/>
      <w:b/>
      <w:bCs/>
      <w:kern w:val="28"/>
      <w:sz w:val="32"/>
      <w:szCs w:val="32"/>
    </w:rPr>
  </w:style>
  <w:style w:type="paragraph" w:styleId="Listenabsatz">
    <w:name w:val="List Paragraph"/>
    <w:basedOn w:val="Standard"/>
    <w:uiPriority w:val="34"/>
    <w:qFormat/>
    <w:rsid w:val="009709EC"/>
    <w:pPr>
      <w:ind w:left="720"/>
      <w:contextualSpacing/>
    </w:pPr>
  </w:style>
  <w:style w:type="character" w:styleId="Hervorhebung">
    <w:name w:val="Emphasis"/>
    <w:basedOn w:val="Absatz-Standardschriftart"/>
    <w:uiPriority w:val="20"/>
    <w:qFormat/>
    <w:rsid w:val="009709EC"/>
    <w:rPr>
      <w:rFonts w:asciiTheme="minorHAnsi" w:hAnsiTheme="minorHAnsi"/>
      <w:b/>
      <w:i/>
      <w:iCs/>
    </w:rPr>
  </w:style>
  <w:style w:type="paragraph" w:customStyle="1" w:styleId="whitespace-pre-wrap">
    <w:name w:val="whitespace-pre-wrap"/>
    <w:basedOn w:val="Standard"/>
    <w:rsid w:val="00E246BC"/>
    <w:pPr>
      <w:spacing w:before="100" w:beforeAutospacing="1" w:after="100" w:afterAutospacing="1"/>
    </w:pPr>
    <w:rPr>
      <w:rFonts w:ascii="Times New Roman" w:eastAsia="Times New Roman" w:hAnsi="Times New Roman"/>
      <w:lang w:eastAsia="de-DE"/>
    </w:rPr>
  </w:style>
  <w:style w:type="character" w:customStyle="1" w:styleId="berschrift2Zchn">
    <w:name w:val="Überschrift 2 Zchn"/>
    <w:basedOn w:val="Absatz-Standardschriftart"/>
    <w:link w:val="berschrift2"/>
    <w:uiPriority w:val="9"/>
    <w:rsid w:val="009709EC"/>
    <w:rPr>
      <w:rFonts w:asciiTheme="majorHAnsi" w:eastAsiaTheme="majorEastAsia" w:hAnsiTheme="majorHAnsi"/>
      <w:b/>
      <w:bCs/>
      <w:i/>
      <w:iCs/>
      <w:sz w:val="28"/>
      <w:szCs w:val="28"/>
    </w:rPr>
  </w:style>
  <w:style w:type="character" w:customStyle="1" w:styleId="berschrift3Zchn">
    <w:name w:val="Überschrift 3 Zchn"/>
    <w:basedOn w:val="Absatz-Standardschriftart"/>
    <w:link w:val="berschrift3"/>
    <w:uiPriority w:val="9"/>
    <w:rsid w:val="009709EC"/>
    <w:rPr>
      <w:rFonts w:asciiTheme="majorHAnsi" w:eastAsiaTheme="majorEastAsia" w:hAnsiTheme="majorHAnsi"/>
      <w:b/>
      <w:bCs/>
      <w:sz w:val="26"/>
      <w:szCs w:val="26"/>
    </w:rPr>
  </w:style>
  <w:style w:type="character" w:customStyle="1" w:styleId="berschrift1Zchn">
    <w:name w:val="Überschrift 1 Zchn"/>
    <w:basedOn w:val="Absatz-Standardschriftart"/>
    <w:link w:val="berschrift1"/>
    <w:uiPriority w:val="9"/>
    <w:rsid w:val="009709EC"/>
    <w:rPr>
      <w:rFonts w:asciiTheme="majorHAnsi" w:eastAsiaTheme="majorEastAsia" w:hAnsiTheme="majorHAnsi" w:cstheme="majorBidi"/>
      <w:b/>
      <w:bCs/>
      <w:kern w:val="32"/>
      <w:sz w:val="32"/>
      <w:szCs w:val="32"/>
    </w:rPr>
  </w:style>
  <w:style w:type="character" w:customStyle="1" w:styleId="berschrift4Zchn">
    <w:name w:val="Überschrift 4 Zchn"/>
    <w:basedOn w:val="Absatz-Standardschriftart"/>
    <w:link w:val="berschrift4"/>
    <w:uiPriority w:val="9"/>
    <w:rsid w:val="009709EC"/>
    <w:rPr>
      <w:rFonts w:cstheme="majorBidi"/>
      <w:b/>
      <w:bCs/>
      <w:sz w:val="28"/>
      <w:szCs w:val="28"/>
    </w:rPr>
  </w:style>
  <w:style w:type="character" w:customStyle="1" w:styleId="berschrift5Zchn">
    <w:name w:val="Überschrift 5 Zchn"/>
    <w:basedOn w:val="Absatz-Standardschriftart"/>
    <w:link w:val="berschrift5"/>
    <w:uiPriority w:val="9"/>
    <w:semiHidden/>
    <w:rsid w:val="009709EC"/>
    <w:rPr>
      <w:rFonts w:cstheme="majorBidi"/>
      <w:b/>
      <w:bCs/>
      <w:i/>
      <w:iCs/>
      <w:sz w:val="26"/>
      <w:szCs w:val="26"/>
    </w:rPr>
  </w:style>
  <w:style w:type="character" w:customStyle="1" w:styleId="katex-mathml">
    <w:name w:val="katex-mathml"/>
    <w:basedOn w:val="Absatz-Standardschriftart"/>
    <w:rsid w:val="005D5D00"/>
  </w:style>
  <w:style w:type="character" w:customStyle="1" w:styleId="mord">
    <w:name w:val="mord"/>
    <w:basedOn w:val="Absatz-Standardschriftart"/>
    <w:rsid w:val="005D5D00"/>
  </w:style>
  <w:style w:type="character" w:customStyle="1" w:styleId="mrel">
    <w:name w:val="mrel"/>
    <w:basedOn w:val="Absatz-Standardschriftart"/>
    <w:rsid w:val="005D5D00"/>
  </w:style>
  <w:style w:type="character" w:customStyle="1" w:styleId="mbin">
    <w:name w:val="mbin"/>
    <w:basedOn w:val="Absatz-Standardschriftart"/>
    <w:rsid w:val="005D5D00"/>
  </w:style>
  <w:style w:type="character" w:customStyle="1" w:styleId="mpunct">
    <w:name w:val="mpunct"/>
    <w:basedOn w:val="Absatz-Standardschriftart"/>
    <w:rsid w:val="005D5D00"/>
  </w:style>
  <w:style w:type="paragraph" w:styleId="HTMLVorformatiert">
    <w:name w:val="HTML Preformatted"/>
    <w:basedOn w:val="Standard"/>
    <w:link w:val="HTMLVorformatiertZchn"/>
    <w:uiPriority w:val="99"/>
    <w:semiHidden/>
    <w:unhideWhenUsed/>
    <w:rsid w:val="00826E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de-DE"/>
    </w:rPr>
  </w:style>
  <w:style w:type="character" w:customStyle="1" w:styleId="HTMLVorformatiertZchn">
    <w:name w:val="HTML Vorformatiert Zchn"/>
    <w:basedOn w:val="Absatz-Standardschriftart"/>
    <w:link w:val="HTMLVorformatiert"/>
    <w:uiPriority w:val="99"/>
    <w:semiHidden/>
    <w:rsid w:val="00826EC8"/>
    <w:rPr>
      <w:rFonts w:ascii="Courier New" w:eastAsia="Times New Roman" w:hAnsi="Courier New" w:cs="Courier New"/>
      <w:sz w:val="20"/>
      <w:szCs w:val="20"/>
      <w:lang w:eastAsia="de-DE"/>
    </w:rPr>
  </w:style>
  <w:style w:type="character" w:customStyle="1" w:styleId="text-text-200">
    <w:name w:val="text-text-200"/>
    <w:basedOn w:val="Absatz-Standardschriftart"/>
    <w:rsid w:val="00826EC8"/>
  </w:style>
  <w:style w:type="character" w:styleId="HTMLCode">
    <w:name w:val="HTML Code"/>
    <w:basedOn w:val="Absatz-Standardschriftart"/>
    <w:uiPriority w:val="99"/>
    <w:semiHidden/>
    <w:unhideWhenUsed/>
    <w:rsid w:val="00826EC8"/>
    <w:rPr>
      <w:rFonts w:ascii="Courier New" w:eastAsia="Times New Roman" w:hAnsi="Courier New" w:cs="Courier New"/>
      <w:sz w:val="20"/>
      <w:szCs w:val="20"/>
    </w:rPr>
  </w:style>
  <w:style w:type="paragraph" w:styleId="Kopfzeile">
    <w:name w:val="header"/>
    <w:basedOn w:val="Standard"/>
    <w:link w:val="KopfzeileZchn"/>
    <w:uiPriority w:val="99"/>
    <w:unhideWhenUsed/>
    <w:rsid w:val="006D20D5"/>
    <w:pPr>
      <w:tabs>
        <w:tab w:val="center" w:pos="4536"/>
        <w:tab w:val="right" w:pos="9072"/>
      </w:tabs>
    </w:pPr>
  </w:style>
  <w:style w:type="character" w:customStyle="1" w:styleId="KopfzeileZchn">
    <w:name w:val="Kopfzeile Zchn"/>
    <w:basedOn w:val="Absatz-Standardschriftart"/>
    <w:link w:val="Kopfzeile"/>
    <w:uiPriority w:val="99"/>
    <w:rsid w:val="006D20D5"/>
  </w:style>
  <w:style w:type="paragraph" w:styleId="Fuzeile">
    <w:name w:val="footer"/>
    <w:basedOn w:val="Standard"/>
    <w:link w:val="FuzeileZchn"/>
    <w:uiPriority w:val="99"/>
    <w:unhideWhenUsed/>
    <w:rsid w:val="006D20D5"/>
    <w:pPr>
      <w:tabs>
        <w:tab w:val="center" w:pos="4536"/>
        <w:tab w:val="right" w:pos="9072"/>
      </w:tabs>
    </w:pPr>
  </w:style>
  <w:style w:type="character" w:customStyle="1" w:styleId="FuzeileZchn">
    <w:name w:val="Fußzeile Zchn"/>
    <w:basedOn w:val="Absatz-Standardschriftart"/>
    <w:link w:val="Fuzeile"/>
    <w:uiPriority w:val="99"/>
    <w:rsid w:val="006D20D5"/>
  </w:style>
  <w:style w:type="character" w:styleId="Hyperlink">
    <w:name w:val="Hyperlink"/>
    <w:basedOn w:val="Absatz-Standardschriftart"/>
    <w:uiPriority w:val="99"/>
    <w:unhideWhenUsed/>
    <w:rsid w:val="00A6642C"/>
    <w:rPr>
      <w:color w:val="5F5F5F" w:themeColor="hyperlink"/>
      <w:u w:val="single"/>
    </w:rPr>
  </w:style>
  <w:style w:type="character" w:customStyle="1" w:styleId="berschrift6Zchn">
    <w:name w:val="Überschrift 6 Zchn"/>
    <w:basedOn w:val="Absatz-Standardschriftart"/>
    <w:link w:val="berschrift6"/>
    <w:uiPriority w:val="9"/>
    <w:semiHidden/>
    <w:rsid w:val="009709EC"/>
    <w:rPr>
      <w:b/>
      <w:bCs/>
    </w:rPr>
  </w:style>
  <w:style w:type="character" w:customStyle="1" w:styleId="berschrift7Zchn">
    <w:name w:val="Überschrift 7 Zchn"/>
    <w:basedOn w:val="Absatz-Standardschriftart"/>
    <w:link w:val="berschrift7"/>
    <w:uiPriority w:val="9"/>
    <w:semiHidden/>
    <w:rsid w:val="009709EC"/>
    <w:rPr>
      <w:sz w:val="24"/>
      <w:szCs w:val="24"/>
    </w:rPr>
  </w:style>
  <w:style w:type="character" w:customStyle="1" w:styleId="berschrift8Zchn">
    <w:name w:val="Überschrift 8 Zchn"/>
    <w:basedOn w:val="Absatz-Standardschriftart"/>
    <w:link w:val="berschrift8"/>
    <w:uiPriority w:val="9"/>
    <w:semiHidden/>
    <w:rsid w:val="009709EC"/>
    <w:rPr>
      <w:i/>
      <w:iCs/>
      <w:sz w:val="24"/>
      <w:szCs w:val="24"/>
    </w:rPr>
  </w:style>
  <w:style w:type="character" w:customStyle="1" w:styleId="berschrift9Zchn">
    <w:name w:val="Überschrift 9 Zchn"/>
    <w:basedOn w:val="Absatz-Standardschriftart"/>
    <w:link w:val="berschrift9"/>
    <w:uiPriority w:val="9"/>
    <w:semiHidden/>
    <w:rsid w:val="009709EC"/>
    <w:rPr>
      <w:rFonts w:asciiTheme="majorHAnsi" w:eastAsiaTheme="majorEastAsia" w:hAnsiTheme="majorHAnsi"/>
    </w:rPr>
  </w:style>
  <w:style w:type="paragraph" w:styleId="Untertitel">
    <w:name w:val="Subtitle"/>
    <w:basedOn w:val="Standard"/>
    <w:next w:val="Standard"/>
    <w:link w:val="UntertitelZchn"/>
    <w:uiPriority w:val="11"/>
    <w:qFormat/>
    <w:rsid w:val="009709EC"/>
    <w:pPr>
      <w:spacing w:after="60"/>
      <w:jc w:val="center"/>
      <w:outlineLvl w:val="1"/>
    </w:pPr>
    <w:rPr>
      <w:rFonts w:asciiTheme="majorHAnsi" w:eastAsiaTheme="majorEastAsia" w:hAnsiTheme="majorHAnsi"/>
    </w:rPr>
  </w:style>
  <w:style w:type="character" w:customStyle="1" w:styleId="UntertitelZchn">
    <w:name w:val="Untertitel Zchn"/>
    <w:basedOn w:val="Absatz-Standardschriftart"/>
    <w:link w:val="Untertitel"/>
    <w:uiPriority w:val="11"/>
    <w:rsid w:val="009709EC"/>
    <w:rPr>
      <w:rFonts w:asciiTheme="majorHAnsi" w:eastAsiaTheme="majorEastAsia" w:hAnsiTheme="majorHAnsi"/>
      <w:sz w:val="24"/>
      <w:szCs w:val="24"/>
    </w:rPr>
  </w:style>
  <w:style w:type="paragraph" w:styleId="KeinLeerraum">
    <w:name w:val="No Spacing"/>
    <w:basedOn w:val="Standard"/>
    <w:uiPriority w:val="1"/>
    <w:qFormat/>
    <w:rsid w:val="009709EC"/>
    <w:rPr>
      <w:szCs w:val="32"/>
    </w:rPr>
  </w:style>
  <w:style w:type="paragraph" w:styleId="Zitat">
    <w:name w:val="Quote"/>
    <w:basedOn w:val="Standard"/>
    <w:next w:val="Standard"/>
    <w:link w:val="ZitatZchn"/>
    <w:uiPriority w:val="29"/>
    <w:qFormat/>
    <w:rsid w:val="009709EC"/>
    <w:rPr>
      <w:i/>
    </w:rPr>
  </w:style>
  <w:style w:type="character" w:customStyle="1" w:styleId="ZitatZchn">
    <w:name w:val="Zitat Zchn"/>
    <w:basedOn w:val="Absatz-Standardschriftart"/>
    <w:link w:val="Zitat"/>
    <w:uiPriority w:val="29"/>
    <w:rsid w:val="009709EC"/>
    <w:rPr>
      <w:i/>
      <w:sz w:val="24"/>
      <w:szCs w:val="24"/>
    </w:rPr>
  </w:style>
  <w:style w:type="paragraph" w:styleId="IntensivesZitat">
    <w:name w:val="Intense Quote"/>
    <w:basedOn w:val="Standard"/>
    <w:next w:val="Standard"/>
    <w:link w:val="IntensivesZitatZchn"/>
    <w:uiPriority w:val="30"/>
    <w:qFormat/>
    <w:rsid w:val="009709EC"/>
    <w:pPr>
      <w:ind w:left="720" w:right="720"/>
    </w:pPr>
    <w:rPr>
      <w:b/>
      <w:i/>
      <w:szCs w:val="22"/>
    </w:rPr>
  </w:style>
  <w:style w:type="character" w:customStyle="1" w:styleId="IntensivesZitatZchn">
    <w:name w:val="Intensives Zitat Zchn"/>
    <w:basedOn w:val="Absatz-Standardschriftart"/>
    <w:link w:val="IntensivesZitat"/>
    <w:uiPriority w:val="30"/>
    <w:rsid w:val="009709EC"/>
    <w:rPr>
      <w:b/>
      <w:i/>
      <w:sz w:val="24"/>
    </w:rPr>
  </w:style>
  <w:style w:type="character" w:styleId="SchwacheHervorhebung">
    <w:name w:val="Subtle Emphasis"/>
    <w:uiPriority w:val="19"/>
    <w:qFormat/>
    <w:rsid w:val="009709EC"/>
    <w:rPr>
      <w:i/>
      <w:color w:val="5A5A5A" w:themeColor="text1" w:themeTint="A5"/>
    </w:rPr>
  </w:style>
  <w:style w:type="character" w:styleId="IntensiveHervorhebung">
    <w:name w:val="Intense Emphasis"/>
    <w:basedOn w:val="Absatz-Standardschriftart"/>
    <w:uiPriority w:val="21"/>
    <w:qFormat/>
    <w:rsid w:val="009709EC"/>
    <w:rPr>
      <w:b/>
      <w:i/>
      <w:sz w:val="24"/>
      <w:szCs w:val="24"/>
      <w:u w:val="single"/>
    </w:rPr>
  </w:style>
  <w:style w:type="character" w:styleId="SchwacherVerweis">
    <w:name w:val="Subtle Reference"/>
    <w:basedOn w:val="Absatz-Standardschriftart"/>
    <w:uiPriority w:val="31"/>
    <w:qFormat/>
    <w:rsid w:val="009709EC"/>
    <w:rPr>
      <w:sz w:val="24"/>
      <w:szCs w:val="24"/>
      <w:u w:val="single"/>
    </w:rPr>
  </w:style>
  <w:style w:type="character" w:styleId="IntensiverVerweis">
    <w:name w:val="Intense Reference"/>
    <w:basedOn w:val="Absatz-Standardschriftart"/>
    <w:uiPriority w:val="32"/>
    <w:qFormat/>
    <w:rsid w:val="009709EC"/>
    <w:rPr>
      <w:b/>
      <w:sz w:val="24"/>
      <w:u w:val="single"/>
    </w:rPr>
  </w:style>
  <w:style w:type="character" w:styleId="Buchtitel">
    <w:name w:val="Book Title"/>
    <w:basedOn w:val="Absatz-Standardschriftart"/>
    <w:uiPriority w:val="33"/>
    <w:qFormat/>
    <w:rsid w:val="009709EC"/>
    <w:rPr>
      <w:rFonts w:asciiTheme="majorHAnsi" w:eastAsiaTheme="majorEastAsia" w:hAnsiTheme="majorHAnsi"/>
      <w:b/>
      <w:i/>
      <w:sz w:val="24"/>
      <w:szCs w:val="24"/>
    </w:rPr>
  </w:style>
  <w:style w:type="paragraph" w:styleId="Inhaltsverzeichnisberschrift">
    <w:name w:val="TOC Heading"/>
    <w:basedOn w:val="berschrift1"/>
    <w:next w:val="Standard"/>
    <w:uiPriority w:val="39"/>
    <w:semiHidden/>
    <w:unhideWhenUsed/>
    <w:qFormat/>
    <w:rsid w:val="009709EC"/>
    <w:pPr>
      <w:outlineLvl w:val="9"/>
    </w:pPr>
    <w:rPr>
      <w:rFonts w:cs="Times New Roman"/>
    </w:rPr>
  </w:style>
  <w:style w:type="character" w:customStyle="1" w:styleId="max-w-0">
    <w:name w:val="max-w-0"/>
    <w:basedOn w:val="Absatz-Standardschriftart"/>
    <w:rsid w:val="00B43694"/>
  </w:style>
  <w:style w:type="character" w:customStyle="1" w:styleId="overflow-hidden">
    <w:name w:val="overflow-hidden"/>
    <w:basedOn w:val="Absatz-Standardschriftart"/>
    <w:rsid w:val="0034447A"/>
  </w:style>
  <w:style w:type="paragraph" w:styleId="Kommentartext">
    <w:name w:val="annotation text"/>
    <w:basedOn w:val="Standard"/>
    <w:link w:val="KommentartextZchn"/>
    <w:uiPriority w:val="99"/>
    <w:semiHidden/>
    <w:unhideWhenUsed/>
    <w:rPr>
      <w:sz w:val="20"/>
      <w:szCs w:val="20"/>
    </w:rPr>
  </w:style>
  <w:style w:type="character" w:customStyle="1" w:styleId="KommentartextZchn">
    <w:name w:val="Kommentartext Zchn"/>
    <w:basedOn w:val="Absatz-Standardschriftart"/>
    <w:link w:val="Kommentartext"/>
    <w:uiPriority w:val="99"/>
    <w:semiHidden/>
    <w:rPr>
      <w:sz w:val="20"/>
      <w:szCs w:val="20"/>
    </w:rPr>
  </w:style>
  <w:style w:type="character" w:styleId="Kommentarzeichen">
    <w:name w:val="annotation reference"/>
    <w:basedOn w:val="Absatz-Standardschriftart"/>
    <w:uiPriority w:val="99"/>
    <w:semiHidden/>
    <w:unhideWhenUsed/>
    <w:rPr>
      <w:sz w:val="16"/>
      <w:szCs w:val="16"/>
    </w:rPr>
  </w:style>
  <w:style w:type="paragraph" w:customStyle="1" w:styleId="paragraph">
    <w:name w:val="paragraph"/>
    <w:basedOn w:val="Standard"/>
    <w:rsid w:val="00BA2659"/>
    <w:pPr>
      <w:spacing w:before="100" w:beforeAutospacing="1" w:after="100" w:afterAutospacing="1"/>
    </w:pPr>
    <w:rPr>
      <w:rFonts w:ascii="Times New Roman" w:eastAsia="Times New Roman" w:hAnsi="Times New Roman"/>
      <w:lang w:eastAsia="de-DE"/>
    </w:rPr>
  </w:style>
  <w:style w:type="character" w:customStyle="1" w:styleId="textrun">
    <w:name w:val="textrun"/>
    <w:basedOn w:val="Absatz-Standardschriftart"/>
    <w:rsid w:val="00BA2659"/>
  </w:style>
  <w:style w:type="character" w:customStyle="1" w:styleId="normaltextrun">
    <w:name w:val="normaltextrun"/>
    <w:basedOn w:val="Absatz-Standardschriftart"/>
    <w:rsid w:val="00BA2659"/>
  </w:style>
  <w:style w:type="character" w:customStyle="1" w:styleId="eop">
    <w:name w:val="eop"/>
    <w:basedOn w:val="Absatz-Standardschriftart"/>
    <w:rsid w:val="00BA2659"/>
  </w:style>
  <w:style w:type="character" w:customStyle="1" w:styleId="spellingerror">
    <w:name w:val="spellingerror"/>
    <w:basedOn w:val="Absatz-Standardschriftart"/>
    <w:rsid w:val="00BA2659"/>
  </w:style>
  <w:style w:type="character" w:customStyle="1" w:styleId="contextualspellingandgrammarerror">
    <w:name w:val="contextualspellingandgrammarerror"/>
    <w:basedOn w:val="Absatz-Standardschriftart"/>
    <w:rsid w:val="00BA26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43352">
      <w:bodyDiv w:val="1"/>
      <w:marLeft w:val="0"/>
      <w:marRight w:val="0"/>
      <w:marTop w:val="0"/>
      <w:marBottom w:val="0"/>
      <w:divBdr>
        <w:top w:val="none" w:sz="0" w:space="0" w:color="auto"/>
        <w:left w:val="none" w:sz="0" w:space="0" w:color="auto"/>
        <w:bottom w:val="none" w:sz="0" w:space="0" w:color="auto"/>
        <w:right w:val="none" w:sz="0" w:space="0" w:color="auto"/>
      </w:divBdr>
    </w:div>
    <w:div w:id="19204696">
      <w:bodyDiv w:val="1"/>
      <w:marLeft w:val="0"/>
      <w:marRight w:val="0"/>
      <w:marTop w:val="0"/>
      <w:marBottom w:val="0"/>
      <w:divBdr>
        <w:top w:val="none" w:sz="0" w:space="0" w:color="auto"/>
        <w:left w:val="none" w:sz="0" w:space="0" w:color="auto"/>
        <w:bottom w:val="none" w:sz="0" w:space="0" w:color="auto"/>
        <w:right w:val="none" w:sz="0" w:space="0" w:color="auto"/>
      </w:divBdr>
    </w:div>
    <w:div w:id="21130877">
      <w:bodyDiv w:val="1"/>
      <w:marLeft w:val="0"/>
      <w:marRight w:val="0"/>
      <w:marTop w:val="0"/>
      <w:marBottom w:val="0"/>
      <w:divBdr>
        <w:top w:val="none" w:sz="0" w:space="0" w:color="auto"/>
        <w:left w:val="none" w:sz="0" w:space="0" w:color="auto"/>
        <w:bottom w:val="none" w:sz="0" w:space="0" w:color="auto"/>
        <w:right w:val="none" w:sz="0" w:space="0" w:color="auto"/>
      </w:divBdr>
    </w:div>
    <w:div w:id="21248768">
      <w:bodyDiv w:val="1"/>
      <w:marLeft w:val="0"/>
      <w:marRight w:val="0"/>
      <w:marTop w:val="0"/>
      <w:marBottom w:val="0"/>
      <w:divBdr>
        <w:top w:val="none" w:sz="0" w:space="0" w:color="auto"/>
        <w:left w:val="none" w:sz="0" w:space="0" w:color="auto"/>
        <w:bottom w:val="none" w:sz="0" w:space="0" w:color="auto"/>
        <w:right w:val="none" w:sz="0" w:space="0" w:color="auto"/>
      </w:divBdr>
    </w:div>
    <w:div w:id="25453490">
      <w:bodyDiv w:val="1"/>
      <w:marLeft w:val="0"/>
      <w:marRight w:val="0"/>
      <w:marTop w:val="0"/>
      <w:marBottom w:val="0"/>
      <w:divBdr>
        <w:top w:val="none" w:sz="0" w:space="0" w:color="auto"/>
        <w:left w:val="none" w:sz="0" w:space="0" w:color="auto"/>
        <w:bottom w:val="none" w:sz="0" w:space="0" w:color="auto"/>
        <w:right w:val="none" w:sz="0" w:space="0" w:color="auto"/>
      </w:divBdr>
    </w:div>
    <w:div w:id="26222401">
      <w:bodyDiv w:val="1"/>
      <w:marLeft w:val="0"/>
      <w:marRight w:val="0"/>
      <w:marTop w:val="0"/>
      <w:marBottom w:val="0"/>
      <w:divBdr>
        <w:top w:val="none" w:sz="0" w:space="0" w:color="auto"/>
        <w:left w:val="none" w:sz="0" w:space="0" w:color="auto"/>
        <w:bottom w:val="none" w:sz="0" w:space="0" w:color="auto"/>
        <w:right w:val="none" w:sz="0" w:space="0" w:color="auto"/>
      </w:divBdr>
    </w:div>
    <w:div w:id="42099782">
      <w:bodyDiv w:val="1"/>
      <w:marLeft w:val="0"/>
      <w:marRight w:val="0"/>
      <w:marTop w:val="0"/>
      <w:marBottom w:val="0"/>
      <w:divBdr>
        <w:top w:val="none" w:sz="0" w:space="0" w:color="auto"/>
        <w:left w:val="none" w:sz="0" w:space="0" w:color="auto"/>
        <w:bottom w:val="none" w:sz="0" w:space="0" w:color="auto"/>
        <w:right w:val="none" w:sz="0" w:space="0" w:color="auto"/>
      </w:divBdr>
    </w:div>
    <w:div w:id="47149158">
      <w:bodyDiv w:val="1"/>
      <w:marLeft w:val="0"/>
      <w:marRight w:val="0"/>
      <w:marTop w:val="0"/>
      <w:marBottom w:val="0"/>
      <w:divBdr>
        <w:top w:val="none" w:sz="0" w:space="0" w:color="auto"/>
        <w:left w:val="none" w:sz="0" w:space="0" w:color="auto"/>
        <w:bottom w:val="none" w:sz="0" w:space="0" w:color="auto"/>
        <w:right w:val="none" w:sz="0" w:space="0" w:color="auto"/>
      </w:divBdr>
    </w:div>
    <w:div w:id="47460870">
      <w:bodyDiv w:val="1"/>
      <w:marLeft w:val="0"/>
      <w:marRight w:val="0"/>
      <w:marTop w:val="0"/>
      <w:marBottom w:val="0"/>
      <w:divBdr>
        <w:top w:val="none" w:sz="0" w:space="0" w:color="auto"/>
        <w:left w:val="none" w:sz="0" w:space="0" w:color="auto"/>
        <w:bottom w:val="none" w:sz="0" w:space="0" w:color="auto"/>
        <w:right w:val="none" w:sz="0" w:space="0" w:color="auto"/>
      </w:divBdr>
    </w:div>
    <w:div w:id="47996769">
      <w:bodyDiv w:val="1"/>
      <w:marLeft w:val="0"/>
      <w:marRight w:val="0"/>
      <w:marTop w:val="0"/>
      <w:marBottom w:val="0"/>
      <w:divBdr>
        <w:top w:val="none" w:sz="0" w:space="0" w:color="auto"/>
        <w:left w:val="none" w:sz="0" w:space="0" w:color="auto"/>
        <w:bottom w:val="none" w:sz="0" w:space="0" w:color="auto"/>
        <w:right w:val="none" w:sz="0" w:space="0" w:color="auto"/>
      </w:divBdr>
    </w:div>
    <w:div w:id="49117850">
      <w:bodyDiv w:val="1"/>
      <w:marLeft w:val="0"/>
      <w:marRight w:val="0"/>
      <w:marTop w:val="0"/>
      <w:marBottom w:val="0"/>
      <w:divBdr>
        <w:top w:val="none" w:sz="0" w:space="0" w:color="auto"/>
        <w:left w:val="none" w:sz="0" w:space="0" w:color="auto"/>
        <w:bottom w:val="none" w:sz="0" w:space="0" w:color="auto"/>
        <w:right w:val="none" w:sz="0" w:space="0" w:color="auto"/>
      </w:divBdr>
    </w:div>
    <w:div w:id="82342883">
      <w:bodyDiv w:val="1"/>
      <w:marLeft w:val="0"/>
      <w:marRight w:val="0"/>
      <w:marTop w:val="0"/>
      <w:marBottom w:val="0"/>
      <w:divBdr>
        <w:top w:val="none" w:sz="0" w:space="0" w:color="auto"/>
        <w:left w:val="none" w:sz="0" w:space="0" w:color="auto"/>
        <w:bottom w:val="none" w:sz="0" w:space="0" w:color="auto"/>
        <w:right w:val="none" w:sz="0" w:space="0" w:color="auto"/>
      </w:divBdr>
    </w:div>
    <w:div w:id="84884199">
      <w:bodyDiv w:val="1"/>
      <w:marLeft w:val="0"/>
      <w:marRight w:val="0"/>
      <w:marTop w:val="0"/>
      <w:marBottom w:val="0"/>
      <w:divBdr>
        <w:top w:val="none" w:sz="0" w:space="0" w:color="auto"/>
        <w:left w:val="none" w:sz="0" w:space="0" w:color="auto"/>
        <w:bottom w:val="none" w:sz="0" w:space="0" w:color="auto"/>
        <w:right w:val="none" w:sz="0" w:space="0" w:color="auto"/>
      </w:divBdr>
      <w:divsChild>
        <w:div w:id="1549805811">
          <w:marLeft w:val="0"/>
          <w:marRight w:val="0"/>
          <w:marTop w:val="0"/>
          <w:marBottom w:val="0"/>
          <w:divBdr>
            <w:top w:val="none" w:sz="0" w:space="0" w:color="auto"/>
            <w:left w:val="none" w:sz="0" w:space="0" w:color="auto"/>
            <w:bottom w:val="none" w:sz="0" w:space="0" w:color="auto"/>
            <w:right w:val="none" w:sz="0" w:space="0" w:color="auto"/>
          </w:divBdr>
          <w:divsChild>
            <w:div w:id="212823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63300">
      <w:bodyDiv w:val="1"/>
      <w:marLeft w:val="0"/>
      <w:marRight w:val="0"/>
      <w:marTop w:val="0"/>
      <w:marBottom w:val="0"/>
      <w:divBdr>
        <w:top w:val="none" w:sz="0" w:space="0" w:color="auto"/>
        <w:left w:val="none" w:sz="0" w:space="0" w:color="auto"/>
        <w:bottom w:val="none" w:sz="0" w:space="0" w:color="auto"/>
        <w:right w:val="none" w:sz="0" w:space="0" w:color="auto"/>
      </w:divBdr>
    </w:div>
    <w:div w:id="92014612">
      <w:bodyDiv w:val="1"/>
      <w:marLeft w:val="0"/>
      <w:marRight w:val="0"/>
      <w:marTop w:val="0"/>
      <w:marBottom w:val="0"/>
      <w:divBdr>
        <w:top w:val="none" w:sz="0" w:space="0" w:color="auto"/>
        <w:left w:val="none" w:sz="0" w:space="0" w:color="auto"/>
        <w:bottom w:val="none" w:sz="0" w:space="0" w:color="auto"/>
        <w:right w:val="none" w:sz="0" w:space="0" w:color="auto"/>
      </w:divBdr>
    </w:div>
    <w:div w:id="92672730">
      <w:bodyDiv w:val="1"/>
      <w:marLeft w:val="0"/>
      <w:marRight w:val="0"/>
      <w:marTop w:val="0"/>
      <w:marBottom w:val="0"/>
      <w:divBdr>
        <w:top w:val="none" w:sz="0" w:space="0" w:color="auto"/>
        <w:left w:val="none" w:sz="0" w:space="0" w:color="auto"/>
        <w:bottom w:val="none" w:sz="0" w:space="0" w:color="auto"/>
        <w:right w:val="none" w:sz="0" w:space="0" w:color="auto"/>
      </w:divBdr>
    </w:div>
    <w:div w:id="102042305">
      <w:bodyDiv w:val="1"/>
      <w:marLeft w:val="0"/>
      <w:marRight w:val="0"/>
      <w:marTop w:val="0"/>
      <w:marBottom w:val="0"/>
      <w:divBdr>
        <w:top w:val="none" w:sz="0" w:space="0" w:color="auto"/>
        <w:left w:val="none" w:sz="0" w:space="0" w:color="auto"/>
        <w:bottom w:val="none" w:sz="0" w:space="0" w:color="auto"/>
        <w:right w:val="none" w:sz="0" w:space="0" w:color="auto"/>
      </w:divBdr>
      <w:divsChild>
        <w:div w:id="801309660">
          <w:marLeft w:val="0"/>
          <w:marRight w:val="0"/>
          <w:marTop w:val="0"/>
          <w:marBottom w:val="0"/>
          <w:divBdr>
            <w:top w:val="none" w:sz="0" w:space="0" w:color="auto"/>
            <w:left w:val="none" w:sz="0" w:space="0" w:color="auto"/>
            <w:bottom w:val="none" w:sz="0" w:space="0" w:color="auto"/>
            <w:right w:val="none" w:sz="0" w:space="0" w:color="auto"/>
          </w:divBdr>
          <w:divsChild>
            <w:div w:id="1825244708">
              <w:marLeft w:val="0"/>
              <w:marRight w:val="0"/>
              <w:marTop w:val="0"/>
              <w:marBottom w:val="0"/>
              <w:divBdr>
                <w:top w:val="none" w:sz="0" w:space="0" w:color="auto"/>
                <w:left w:val="none" w:sz="0" w:space="0" w:color="auto"/>
                <w:bottom w:val="none" w:sz="0" w:space="0" w:color="auto"/>
                <w:right w:val="none" w:sz="0" w:space="0" w:color="auto"/>
              </w:divBdr>
              <w:divsChild>
                <w:div w:id="34702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085784">
          <w:marLeft w:val="0"/>
          <w:marRight w:val="0"/>
          <w:marTop w:val="0"/>
          <w:marBottom w:val="0"/>
          <w:divBdr>
            <w:top w:val="none" w:sz="0" w:space="0" w:color="auto"/>
            <w:left w:val="none" w:sz="0" w:space="0" w:color="auto"/>
            <w:bottom w:val="none" w:sz="0" w:space="0" w:color="auto"/>
            <w:right w:val="none" w:sz="0" w:space="0" w:color="auto"/>
          </w:divBdr>
          <w:divsChild>
            <w:div w:id="1574242767">
              <w:marLeft w:val="0"/>
              <w:marRight w:val="0"/>
              <w:marTop w:val="0"/>
              <w:marBottom w:val="0"/>
              <w:divBdr>
                <w:top w:val="none" w:sz="0" w:space="0" w:color="auto"/>
                <w:left w:val="none" w:sz="0" w:space="0" w:color="auto"/>
                <w:bottom w:val="none" w:sz="0" w:space="0" w:color="auto"/>
                <w:right w:val="none" w:sz="0" w:space="0" w:color="auto"/>
              </w:divBdr>
              <w:divsChild>
                <w:div w:id="1276214513">
                  <w:marLeft w:val="0"/>
                  <w:marRight w:val="0"/>
                  <w:marTop w:val="0"/>
                  <w:marBottom w:val="0"/>
                  <w:divBdr>
                    <w:top w:val="none" w:sz="0" w:space="0" w:color="auto"/>
                    <w:left w:val="none" w:sz="0" w:space="0" w:color="auto"/>
                    <w:bottom w:val="none" w:sz="0" w:space="0" w:color="auto"/>
                    <w:right w:val="none" w:sz="0" w:space="0" w:color="auto"/>
                  </w:divBdr>
                  <w:divsChild>
                    <w:div w:id="281694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29749">
      <w:bodyDiv w:val="1"/>
      <w:marLeft w:val="0"/>
      <w:marRight w:val="0"/>
      <w:marTop w:val="0"/>
      <w:marBottom w:val="0"/>
      <w:divBdr>
        <w:top w:val="none" w:sz="0" w:space="0" w:color="auto"/>
        <w:left w:val="none" w:sz="0" w:space="0" w:color="auto"/>
        <w:bottom w:val="none" w:sz="0" w:space="0" w:color="auto"/>
        <w:right w:val="none" w:sz="0" w:space="0" w:color="auto"/>
      </w:divBdr>
    </w:div>
    <w:div w:id="141584542">
      <w:bodyDiv w:val="1"/>
      <w:marLeft w:val="0"/>
      <w:marRight w:val="0"/>
      <w:marTop w:val="0"/>
      <w:marBottom w:val="0"/>
      <w:divBdr>
        <w:top w:val="none" w:sz="0" w:space="0" w:color="auto"/>
        <w:left w:val="none" w:sz="0" w:space="0" w:color="auto"/>
        <w:bottom w:val="none" w:sz="0" w:space="0" w:color="auto"/>
        <w:right w:val="none" w:sz="0" w:space="0" w:color="auto"/>
      </w:divBdr>
    </w:div>
    <w:div w:id="143742933">
      <w:bodyDiv w:val="1"/>
      <w:marLeft w:val="0"/>
      <w:marRight w:val="0"/>
      <w:marTop w:val="0"/>
      <w:marBottom w:val="0"/>
      <w:divBdr>
        <w:top w:val="none" w:sz="0" w:space="0" w:color="auto"/>
        <w:left w:val="none" w:sz="0" w:space="0" w:color="auto"/>
        <w:bottom w:val="none" w:sz="0" w:space="0" w:color="auto"/>
        <w:right w:val="none" w:sz="0" w:space="0" w:color="auto"/>
      </w:divBdr>
    </w:div>
    <w:div w:id="168062853">
      <w:bodyDiv w:val="1"/>
      <w:marLeft w:val="0"/>
      <w:marRight w:val="0"/>
      <w:marTop w:val="0"/>
      <w:marBottom w:val="0"/>
      <w:divBdr>
        <w:top w:val="none" w:sz="0" w:space="0" w:color="auto"/>
        <w:left w:val="none" w:sz="0" w:space="0" w:color="auto"/>
        <w:bottom w:val="none" w:sz="0" w:space="0" w:color="auto"/>
        <w:right w:val="none" w:sz="0" w:space="0" w:color="auto"/>
      </w:divBdr>
    </w:div>
    <w:div w:id="168450431">
      <w:bodyDiv w:val="1"/>
      <w:marLeft w:val="0"/>
      <w:marRight w:val="0"/>
      <w:marTop w:val="0"/>
      <w:marBottom w:val="0"/>
      <w:divBdr>
        <w:top w:val="none" w:sz="0" w:space="0" w:color="auto"/>
        <w:left w:val="none" w:sz="0" w:space="0" w:color="auto"/>
        <w:bottom w:val="none" w:sz="0" w:space="0" w:color="auto"/>
        <w:right w:val="none" w:sz="0" w:space="0" w:color="auto"/>
      </w:divBdr>
    </w:div>
    <w:div w:id="189268669">
      <w:bodyDiv w:val="1"/>
      <w:marLeft w:val="0"/>
      <w:marRight w:val="0"/>
      <w:marTop w:val="0"/>
      <w:marBottom w:val="0"/>
      <w:divBdr>
        <w:top w:val="none" w:sz="0" w:space="0" w:color="auto"/>
        <w:left w:val="none" w:sz="0" w:space="0" w:color="auto"/>
        <w:bottom w:val="none" w:sz="0" w:space="0" w:color="auto"/>
        <w:right w:val="none" w:sz="0" w:space="0" w:color="auto"/>
      </w:divBdr>
    </w:div>
    <w:div w:id="206845644">
      <w:bodyDiv w:val="1"/>
      <w:marLeft w:val="0"/>
      <w:marRight w:val="0"/>
      <w:marTop w:val="0"/>
      <w:marBottom w:val="0"/>
      <w:divBdr>
        <w:top w:val="none" w:sz="0" w:space="0" w:color="auto"/>
        <w:left w:val="none" w:sz="0" w:space="0" w:color="auto"/>
        <w:bottom w:val="none" w:sz="0" w:space="0" w:color="auto"/>
        <w:right w:val="none" w:sz="0" w:space="0" w:color="auto"/>
      </w:divBdr>
    </w:div>
    <w:div w:id="232588837">
      <w:bodyDiv w:val="1"/>
      <w:marLeft w:val="0"/>
      <w:marRight w:val="0"/>
      <w:marTop w:val="0"/>
      <w:marBottom w:val="0"/>
      <w:divBdr>
        <w:top w:val="none" w:sz="0" w:space="0" w:color="auto"/>
        <w:left w:val="none" w:sz="0" w:space="0" w:color="auto"/>
        <w:bottom w:val="none" w:sz="0" w:space="0" w:color="auto"/>
        <w:right w:val="none" w:sz="0" w:space="0" w:color="auto"/>
      </w:divBdr>
    </w:div>
    <w:div w:id="234358044">
      <w:bodyDiv w:val="1"/>
      <w:marLeft w:val="0"/>
      <w:marRight w:val="0"/>
      <w:marTop w:val="0"/>
      <w:marBottom w:val="0"/>
      <w:divBdr>
        <w:top w:val="none" w:sz="0" w:space="0" w:color="auto"/>
        <w:left w:val="none" w:sz="0" w:space="0" w:color="auto"/>
        <w:bottom w:val="none" w:sz="0" w:space="0" w:color="auto"/>
        <w:right w:val="none" w:sz="0" w:space="0" w:color="auto"/>
      </w:divBdr>
    </w:div>
    <w:div w:id="235290251">
      <w:bodyDiv w:val="1"/>
      <w:marLeft w:val="0"/>
      <w:marRight w:val="0"/>
      <w:marTop w:val="0"/>
      <w:marBottom w:val="0"/>
      <w:divBdr>
        <w:top w:val="none" w:sz="0" w:space="0" w:color="auto"/>
        <w:left w:val="none" w:sz="0" w:space="0" w:color="auto"/>
        <w:bottom w:val="none" w:sz="0" w:space="0" w:color="auto"/>
        <w:right w:val="none" w:sz="0" w:space="0" w:color="auto"/>
      </w:divBdr>
    </w:div>
    <w:div w:id="252596691">
      <w:bodyDiv w:val="1"/>
      <w:marLeft w:val="0"/>
      <w:marRight w:val="0"/>
      <w:marTop w:val="0"/>
      <w:marBottom w:val="0"/>
      <w:divBdr>
        <w:top w:val="none" w:sz="0" w:space="0" w:color="auto"/>
        <w:left w:val="none" w:sz="0" w:space="0" w:color="auto"/>
        <w:bottom w:val="none" w:sz="0" w:space="0" w:color="auto"/>
        <w:right w:val="none" w:sz="0" w:space="0" w:color="auto"/>
      </w:divBdr>
    </w:div>
    <w:div w:id="260920609">
      <w:bodyDiv w:val="1"/>
      <w:marLeft w:val="0"/>
      <w:marRight w:val="0"/>
      <w:marTop w:val="0"/>
      <w:marBottom w:val="0"/>
      <w:divBdr>
        <w:top w:val="none" w:sz="0" w:space="0" w:color="auto"/>
        <w:left w:val="none" w:sz="0" w:space="0" w:color="auto"/>
        <w:bottom w:val="none" w:sz="0" w:space="0" w:color="auto"/>
        <w:right w:val="none" w:sz="0" w:space="0" w:color="auto"/>
      </w:divBdr>
    </w:div>
    <w:div w:id="274871069">
      <w:bodyDiv w:val="1"/>
      <w:marLeft w:val="0"/>
      <w:marRight w:val="0"/>
      <w:marTop w:val="0"/>
      <w:marBottom w:val="0"/>
      <w:divBdr>
        <w:top w:val="none" w:sz="0" w:space="0" w:color="auto"/>
        <w:left w:val="none" w:sz="0" w:space="0" w:color="auto"/>
        <w:bottom w:val="none" w:sz="0" w:space="0" w:color="auto"/>
        <w:right w:val="none" w:sz="0" w:space="0" w:color="auto"/>
      </w:divBdr>
      <w:divsChild>
        <w:div w:id="1400598129">
          <w:marLeft w:val="0"/>
          <w:marRight w:val="0"/>
          <w:marTop w:val="0"/>
          <w:marBottom w:val="0"/>
          <w:divBdr>
            <w:top w:val="single" w:sz="2" w:space="0" w:color="auto"/>
            <w:left w:val="single" w:sz="2" w:space="0" w:color="auto"/>
            <w:bottom w:val="single" w:sz="2" w:space="0" w:color="auto"/>
            <w:right w:val="single" w:sz="2" w:space="0" w:color="auto"/>
          </w:divBdr>
          <w:divsChild>
            <w:div w:id="1278683341">
              <w:marLeft w:val="0"/>
              <w:marRight w:val="0"/>
              <w:marTop w:val="0"/>
              <w:marBottom w:val="0"/>
              <w:divBdr>
                <w:top w:val="single" w:sz="2" w:space="0" w:color="auto"/>
                <w:left w:val="single" w:sz="2" w:space="0" w:color="auto"/>
                <w:bottom w:val="single" w:sz="2" w:space="0" w:color="auto"/>
                <w:right w:val="single" w:sz="2" w:space="0" w:color="auto"/>
              </w:divBdr>
              <w:divsChild>
                <w:div w:id="11667766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286396265">
      <w:bodyDiv w:val="1"/>
      <w:marLeft w:val="0"/>
      <w:marRight w:val="0"/>
      <w:marTop w:val="0"/>
      <w:marBottom w:val="0"/>
      <w:divBdr>
        <w:top w:val="none" w:sz="0" w:space="0" w:color="auto"/>
        <w:left w:val="none" w:sz="0" w:space="0" w:color="auto"/>
        <w:bottom w:val="none" w:sz="0" w:space="0" w:color="auto"/>
        <w:right w:val="none" w:sz="0" w:space="0" w:color="auto"/>
      </w:divBdr>
      <w:divsChild>
        <w:div w:id="87357">
          <w:marLeft w:val="0"/>
          <w:marRight w:val="0"/>
          <w:marTop w:val="0"/>
          <w:marBottom w:val="0"/>
          <w:divBdr>
            <w:top w:val="none" w:sz="0" w:space="0" w:color="auto"/>
            <w:left w:val="none" w:sz="0" w:space="0" w:color="auto"/>
            <w:bottom w:val="none" w:sz="0" w:space="0" w:color="auto"/>
            <w:right w:val="none" w:sz="0" w:space="0" w:color="auto"/>
          </w:divBdr>
          <w:divsChild>
            <w:div w:id="1420713490">
              <w:marLeft w:val="0"/>
              <w:marRight w:val="0"/>
              <w:marTop w:val="0"/>
              <w:marBottom w:val="0"/>
              <w:divBdr>
                <w:top w:val="none" w:sz="0" w:space="0" w:color="auto"/>
                <w:left w:val="none" w:sz="0" w:space="0" w:color="auto"/>
                <w:bottom w:val="none" w:sz="0" w:space="0" w:color="auto"/>
                <w:right w:val="none" w:sz="0" w:space="0" w:color="auto"/>
              </w:divBdr>
              <w:divsChild>
                <w:div w:id="1522354654">
                  <w:marLeft w:val="0"/>
                  <w:marRight w:val="0"/>
                  <w:marTop w:val="0"/>
                  <w:marBottom w:val="0"/>
                  <w:divBdr>
                    <w:top w:val="none" w:sz="0" w:space="0" w:color="auto"/>
                    <w:left w:val="none" w:sz="0" w:space="0" w:color="auto"/>
                    <w:bottom w:val="none" w:sz="0" w:space="0" w:color="auto"/>
                    <w:right w:val="none" w:sz="0" w:space="0" w:color="auto"/>
                  </w:divBdr>
                  <w:divsChild>
                    <w:div w:id="128206234">
                      <w:marLeft w:val="0"/>
                      <w:marRight w:val="0"/>
                      <w:marTop w:val="0"/>
                      <w:marBottom w:val="0"/>
                      <w:divBdr>
                        <w:top w:val="none" w:sz="0" w:space="0" w:color="auto"/>
                        <w:left w:val="none" w:sz="0" w:space="0" w:color="auto"/>
                        <w:bottom w:val="none" w:sz="0" w:space="0" w:color="auto"/>
                        <w:right w:val="none" w:sz="0" w:space="0" w:color="auto"/>
                      </w:divBdr>
                      <w:divsChild>
                        <w:div w:id="1450586165">
                          <w:marLeft w:val="0"/>
                          <w:marRight w:val="0"/>
                          <w:marTop w:val="0"/>
                          <w:marBottom w:val="0"/>
                          <w:divBdr>
                            <w:top w:val="none" w:sz="0" w:space="0" w:color="auto"/>
                            <w:left w:val="none" w:sz="0" w:space="0" w:color="auto"/>
                            <w:bottom w:val="none" w:sz="0" w:space="0" w:color="auto"/>
                            <w:right w:val="none" w:sz="0" w:space="0" w:color="auto"/>
                          </w:divBdr>
                          <w:divsChild>
                            <w:div w:id="213898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539562">
                      <w:marLeft w:val="0"/>
                      <w:marRight w:val="0"/>
                      <w:marTop w:val="0"/>
                      <w:marBottom w:val="0"/>
                      <w:divBdr>
                        <w:top w:val="none" w:sz="0" w:space="0" w:color="auto"/>
                        <w:left w:val="none" w:sz="0" w:space="0" w:color="auto"/>
                        <w:bottom w:val="none" w:sz="0" w:space="0" w:color="auto"/>
                        <w:right w:val="none" w:sz="0" w:space="0" w:color="auto"/>
                      </w:divBdr>
                      <w:divsChild>
                        <w:div w:id="1364794543">
                          <w:marLeft w:val="0"/>
                          <w:marRight w:val="0"/>
                          <w:marTop w:val="0"/>
                          <w:marBottom w:val="0"/>
                          <w:divBdr>
                            <w:top w:val="none" w:sz="0" w:space="0" w:color="auto"/>
                            <w:left w:val="none" w:sz="0" w:space="0" w:color="auto"/>
                            <w:bottom w:val="none" w:sz="0" w:space="0" w:color="auto"/>
                            <w:right w:val="none" w:sz="0" w:space="0" w:color="auto"/>
                          </w:divBdr>
                          <w:divsChild>
                            <w:div w:id="18748890">
                              <w:marLeft w:val="0"/>
                              <w:marRight w:val="0"/>
                              <w:marTop w:val="0"/>
                              <w:marBottom w:val="0"/>
                              <w:divBdr>
                                <w:top w:val="none" w:sz="0" w:space="0" w:color="auto"/>
                                <w:left w:val="none" w:sz="0" w:space="0" w:color="auto"/>
                                <w:bottom w:val="none" w:sz="0" w:space="0" w:color="auto"/>
                                <w:right w:val="none" w:sz="0" w:space="0" w:color="auto"/>
                              </w:divBdr>
                              <w:divsChild>
                                <w:div w:id="138622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6672986">
          <w:marLeft w:val="0"/>
          <w:marRight w:val="0"/>
          <w:marTop w:val="0"/>
          <w:marBottom w:val="0"/>
          <w:divBdr>
            <w:top w:val="none" w:sz="0" w:space="0" w:color="auto"/>
            <w:left w:val="none" w:sz="0" w:space="0" w:color="auto"/>
            <w:bottom w:val="none" w:sz="0" w:space="0" w:color="auto"/>
            <w:right w:val="none" w:sz="0" w:space="0" w:color="auto"/>
          </w:divBdr>
          <w:divsChild>
            <w:div w:id="1641378322">
              <w:marLeft w:val="0"/>
              <w:marRight w:val="0"/>
              <w:marTop w:val="0"/>
              <w:marBottom w:val="0"/>
              <w:divBdr>
                <w:top w:val="none" w:sz="0" w:space="0" w:color="auto"/>
                <w:left w:val="none" w:sz="0" w:space="0" w:color="auto"/>
                <w:bottom w:val="none" w:sz="0" w:space="0" w:color="auto"/>
                <w:right w:val="none" w:sz="0" w:space="0" w:color="auto"/>
              </w:divBdr>
              <w:divsChild>
                <w:div w:id="122159537">
                  <w:marLeft w:val="0"/>
                  <w:marRight w:val="0"/>
                  <w:marTop w:val="0"/>
                  <w:marBottom w:val="0"/>
                  <w:divBdr>
                    <w:top w:val="none" w:sz="0" w:space="0" w:color="auto"/>
                    <w:left w:val="none" w:sz="0" w:space="0" w:color="auto"/>
                    <w:bottom w:val="none" w:sz="0" w:space="0" w:color="auto"/>
                    <w:right w:val="none" w:sz="0" w:space="0" w:color="auto"/>
                  </w:divBdr>
                  <w:divsChild>
                    <w:div w:id="378940486">
                      <w:marLeft w:val="0"/>
                      <w:marRight w:val="0"/>
                      <w:marTop w:val="0"/>
                      <w:marBottom w:val="0"/>
                      <w:divBdr>
                        <w:top w:val="none" w:sz="0" w:space="0" w:color="auto"/>
                        <w:left w:val="none" w:sz="0" w:space="0" w:color="auto"/>
                        <w:bottom w:val="none" w:sz="0" w:space="0" w:color="auto"/>
                        <w:right w:val="none" w:sz="0" w:space="0" w:color="auto"/>
                      </w:divBdr>
                      <w:divsChild>
                        <w:div w:id="1352342177">
                          <w:marLeft w:val="0"/>
                          <w:marRight w:val="0"/>
                          <w:marTop w:val="0"/>
                          <w:marBottom w:val="0"/>
                          <w:divBdr>
                            <w:top w:val="none" w:sz="0" w:space="0" w:color="auto"/>
                            <w:left w:val="none" w:sz="0" w:space="0" w:color="auto"/>
                            <w:bottom w:val="none" w:sz="0" w:space="0" w:color="auto"/>
                            <w:right w:val="none" w:sz="0" w:space="0" w:color="auto"/>
                          </w:divBdr>
                          <w:divsChild>
                            <w:div w:id="947590481">
                              <w:marLeft w:val="0"/>
                              <w:marRight w:val="0"/>
                              <w:marTop w:val="0"/>
                              <w:marBottom w:val="0"/>
                              <w:divBdr>
                                <w:top w:val="none" w:sz="0" w:space="0" w:color="auto"/>
                                <w:left w:val="none" w:sz="0" w:space="0" w:color="auto"/>
                                <w:bottom w:val="none" w:sz="0" w:space="0" w:color="auto"/>
                                <w:right w:val="none" w:sz="0" w:space="0" w:color="auto"/>
                              </w:divBdr>
                            </w:div>
                          </w:divsChild>
                        </w:div>
                        <w:div w:id="815757748">
                          <w:marLeft w:val="0"/>
                          <w:marRight w:val="0"/>
                          <w:marTop w:val="0"/>
                          <w:marBottom w:val="0"/>
                          <w:divBdr>
                            <w:top w:val="none" w:sz="0" w:space="0" w:color="auto"/>
                            <w:left w:val="none" w:sz="0" w:space="0" w:color="auto"/>
                            <w:bottom w:val="none" w:sz="0" w:space="0" w:color="auto"/>
                            <w:right w:val="none" w:sz="0" w:space="0" w:color="auto"/>
                          </w:divBdr>
                        </w:div>
                      </w:divsChild>
                    </w:div>
                    <w:div w:id="1803303990">
                      <w:marLeft w:val="0"/>
                      <w:marRight w:val="0"/>
                      <w:marTop w:val="0"/>
                      <w:marBottom w:val="0"/>
                      <w:divBdr>
                        <w:top w:val="none" w:sz="0" w:space="0" w:color="auto"/>
                        <w:left w:val="none" w:sz="0" w:space="0" w:color="auto"/>
                        <w:bottom w:val="none" w:sz="0" w:space="0" w:color="auto"/>
                        <w:right w:val="none" w:sz="0" w:space="0" w:color="auto"/>
                      </w:divBdr>
                      <w:divsChild>
                        <w:div w:id="658577979">
                          <w:marLeft w:val="0"/>
                          <w:marRight w:val="0"/>
                          <w:marTop w:val="0"/>
                          <w:marBottom w:val="0"/>
                          <w:divBdr>
                            <w:top w:val="none" w:sz="0" w:space="0" w:color="auto"/>
                            <w:left w:val="none" w:sz="0" w:space="0" w:color="auto"/>
                            <w:bottom w:val="none" w:sz="0" w:space="0" w:color="auto"/>
                            <w:right w:val="none" w:sz="0" w:space="0" w:color="auto"/>
                          </w:divBdr>
                          <w:divsChild>
                            <w:div w:id="100272470">
                              <w:marLeft w:val="0"/>
                              <w:marRight w:val="0"/>
                              <w:marTop w:val="0"/>
                              <w:marBottom w:val="0"/>
                              <w:divBdr>
                                <w:top w:val="none" w:sz="0" w:space="0" w:color="auto"/>
                                <w:left w:val="none" w:sz="0" w:space="0" w:color="auto"/>
                                <w:bottom w:val="none" w:sz="0" w:space="0" w:color="auto"/>
                                <w:right w:val="none" w:sz="0" w:space="0" w:color="auto"/>
                              </w:divBdr>
                              <w:divsChild>
                                <w:div w:id="36051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4087671">
          <w:marLeft w:val="0"/>
          <w:marRight w:val="0"/>
          <w:marTop w:val="0"/>
          <w:marBottom w:val="0"/>
          <w:divBdr>
            <w:top w:val="none" w:sz="0" w:space="0" w:color="auto"/>
            <w:left w:val="none" w:sz="0" w:space="0" w:color="auto"/>
            <w:bottom w:val="none" w:sz="0" w:space="0" w:color="auto"/>
            <w:right w:val="none" w:sz="0" w:space="0" w:color="auto"/>
          </w:divBdr>
          <w:divsChild>
            <w:div w:id="798691768">
              <w:marLeft w:val="0"/>
              <w:marRight w:val="0"/>
              <w:marTop w:val="0"/>
              <w:marBottom w:val="0"/>
              <w:divBdr>
                <w:top w:val="none" w:sz="0" w:space="0" w:color="auto"/>
                <w:left w:val="none" w:sz="0" w:space="0" w:color="auto"/>
                <w:bottom w:val="none" w:sz="0" w:space="0" w:color="auto"/>
                <w:right w:val="none" w:sz="0" w:space="0" w:color="auto"/>
              </w:divBdr>
              <w:divsChild>
                <w:div w:id="1170175162">
                  <w:marLeft w:val="0"/>
                  <w:marRight w:val="0"/>
                  <w:marTop w:val="0"/>
                  <w:marBottom w:val="0"/>
                  <w:divBdr>
                    <w:top w:val="none" w:sz="0" w:space="0" w:color="auto"/>
                    <w:left w:val="none" w:sz="0" w:space="0" w:color="auto"/>
                    <w:bottom w:val="none" w:sz="0" w:space="0" w:color="auto"/>
                    <w:right w:val="none" w:sz="0" w:space="0" w:color="auto"/>
                  </w:divBdr>
                  <w:divsChild>
                    <w:div w:id="712192963">
                      <w:marLeft w:val="0"/>
                      <w:marRight w:val="0"/>
                      <w:marTop w:val="0"/>
                      <w:marBottom w:val="0"/>
                      <w:divBdr>
                        <w:top w:val="none" w:sz="0" w:space="0" w:color="auto"/>
                        <w:left w:val="none" w:sz="0" w:space="0" w:color="auto"/>
                        <w:bottom w:val="none" w:sz="0" w:space="0" w:color="auto"/>
                        <w:right w:val="none" w:sz="0" w:space="0" w:color="auto"/>
                      </w:divBdr>
                      <w:divsChild>
                        <w:div w:id="1633292927">
                          <w:marLeft w:val="0"/>
                          <w:marRight w:val="0"/>
                          <w:marTop w:val="0"/>
                          <w:marBottom w:val="0"/>
                          <w:divBdr>
                            <w:top w:val="none" w:sz="0" w:space="0" w:color="auto"/>
                            <w:left w:val="none" w:sz="0" w:space="0" w:color="auto"/>
                            <w:bottom w:val="none" w:sz="0" w:space="0" w:color="auto"/>
                            <w:right w:val="none" w:sz="0" w:space="0" w:color="auto"/>
                          </w:divBdr>
                          <w:divsChild>
                            <w:div w:id="1054885782">
                              <w:marLeft w:val="0"/>
                              <w:marRight w:val="0"/>
                              <w:marTop w:val="0"/>
                              <w:marBottom w:val="0"/>
                              <w:divBdr>
                                <w:top w:val="none" w:sz="0" w:space="0" w:color="auto"/>
                                <w:left w:val="none" w:sz="0" w:space="0" w:color="auto"/>
                                <w:bottom w:val="none" w:sz="0" w:space="0" w:color="auto"/>
                                <w:right w:val="none" w:sz="0" w:space="0" w:color="auto"/>
                              </w:divBdr>
                              <w:divsChild>
                                <w:div w:id="1130630540">
                                  <w:marLeft w:val="0"/>
                                  <w:marRight w:val="0"/>
                                  <w:marTop w:val="0"/>
                                  <w:marBottom w:val="0"/>
                                  <w:divBdr>
                                    <w:top w:val="none" w:sz="0" w:space="0" w:color="auto"/>
                                    <w:left w:val="none" w:sz="0" w:space="0" w:color="auto"/>
                                    <w:bottom w:val="none" w:sz="0" w:space="0" w:color="auto"/>
                                    <w:right w:val="none" w:sz="0" w:space="0" w:color="auto"/>
                                  </w:divBdr>
                                  <w:divsChild>
                                    <w:div w:id="1813256017">
                                      <w:marLeft w:val="0"/>
                                      <w:marRight w:val="0"/>
                                      <w:marTop w:val="0"/>
                                      <w:marBottom w:val="0"/>
                                      <w:divBdr>
                                        <w:top w:val="none" w:sz="0" w:space="0" w:color="auto"/>
                                        <w:left w:val="none" w:sz="0" w:space="0" w:color="auto"/>
                                        <w:bottom w:val="none" w:sz="0" w:space="0" w:color="auto"/>
                                        <w:right w:val="none" w:sz="0" w:space="0" w:color="auto"/>
                                      </w:divBdr>
                                      <w:divsChild>
                                        <w:div w:id="1312367167">
                                          <w:marLeft w:val="0"/>
                                          <w:marRight w:val="0"/>
                                          <w:marTop w:val="0"/>
                                          <w:marBottom w:val="0"/>
                                          <w:divBdr>
                                            <w:top w:val="none" w:sz="0" w:space="0" w:color="auto"/>
                                            <w:left w:val="none" w:sz="0" w:space="0" w:color="auto"/>
                                            <w:bottom w:val="none" w:sz="0" w:space="0" w:color="auto"/>
                                            <w:right w:val="none" w:sz="0" w:space="0" w:color="auto"/>
                                          </w:divBdr>
                                        </w:div>
                                      </w:divsChild>
                                    </w:div>
                                    <w:div w:id="357782756">
                                      <w:marLeft w:val="0"/>
                                      <w:marRight w:val="0"/>
                                      <w:marTop w:val="0"/>
                                      <w:marBottom w:val="0"/>
                                      <w:divBdr>
                                        <w:top w:val="none" w:sz="0" w:space="0" w:color="auto"/>
                                        <w:left w:val="none" w:sz="0" w:space="0" w:color="auto"/>
                                        <w:bottom w:val="none" w:sz="0" w:space="0" w:color="auto"/>
                                        <w:right w:val="none" w:sz="0" w:space="0" w:color="auto"/>
                                      </w:divBdr>
                                      <w:divsChild>
                                        <w:div w:id="53924949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330570003">
                                  <w:marLeft w:val="0"/>
                                  <w:marRight w:val="0"/>
                                  <w:marTop w:val="0"/>
                                  <w:marBottom w:val="0"/>
                                  <w:divBdr>
                                    <w:top w:val="none" w:sz="0" w:space="0" w:color="auto"/>
                                    <w:left w:val="none" w:sz="0" w:space="0" w:color="auto"/>
                                    <w:bottom w:val="none" w:sz="0" w:space="0" w:color="auto"/>
                                    <w:right w:val="none" w:sz="0" w:space="0" w:color="auto"/>
                                  </w:divBdr>
                                  <w:divsChild>
                                    <w:div w:id="971206273">
                                      <w:marLeft w:val="0"/>
                                      <w:marRight w:val="0"/>
                                      <w:marTop w:val="0"/>
                                      <w:marBottom w:val="0"/>
                                      <w:divBdr>
                                        <w:top w:val="none" w:sz="0" w:space="0" w:color="auto"/>
                                        <w:left w:val="none" w:sz="0" w:space="0" w:color="auto"/>
                                        <w:bottom w:val="none" w:sz="0" w:space="0" w:color="auto"/>
                                        <w:right w:val="none" w:sz="0" w:space="0" w:color="auto"/>
                                      </w:divBdr>
                                      <w:divsChild>
                                        <w:div w:id="2146659100">
                                          <w:marLeft w:val="0"/>
                                          <w:marRight w:val="0"/>
                                          <w:marTop w:val="0"/>
                                          <w:marBottom w:val="0"/>
                                          <w:divBdr>
                                            <w:top w:val="none" w:sz="0" w:space="0" w:color="auto"/>
                                            <w:left w:val="none" w:sz="0" w:space="0" w:color="auto"/>
                                            <w:bottom w:val="none" w:sz="0" w:space="0" w:color="auto"/>
                                            <w:right w:val="none" w:sz="0" w:space="0" w:color="auto"/>
                                          </w:divBdr>
                                        </w:div>
                                      </w:divsChild>
                                    </w:div>
                                    <w:div w:id="871723747">
                                      <w:marLeft w:val="0"/>
                                      <w:marRight w:val="0"/>
                                      <w:marTop w:val="0"/>
                                      <w:marBottom w:val="0"/>
                                      <w:divBdr>
                                        <w:top w:val="none" w:sz="0" w:space="0" w:color="auto"/>
                                        <w:left w:val="none" w:sz="0" w:space="0" w:color="auto"/>
                                        <w:bottom w:val="none" w:sz="0" w:space="0" w:color="auto"/>
                                        <w:right w:val="none" w:sz="0" w:space="0" w:color="auto"/>
                                      </w:divBdr>
                                      <w:divsChild>
                                        <w:div w:id="197506570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617570420">
                                  <w:marLeft w:val="0"/>
                                  <w:marRight w:val="0"/>
                                  <w:marTop w:val="0"/>
                                  <w:marBottom w:val="0"/>
                                  <w:divBdr>
                                    <w:top w:val="none" w:sz="0" w:space="0" w:color="auto"/>
                                    <w:left w:val="none" w:sz="0" w:space="0" w:color="auto"/>
                                    <w:bottom w:val="none" w:sz="0" w:space="0" w:color="auto"/>
                                    <w:right w:val="none" w:sz="0" w:space="0" w:color="auto"/>
                                  </w:divBdr>
                                  <w:divsChild>
                                    <w:div w:id="2116825970">
                                      <w:marLeft w:val="0"/>
                                      <w:marRight w:val="0"/>
                                      <w:marTop w:val="0"/>
                                      <w:marBottom w:val="0"/>
                                      <w:divBdr>
                                        <w:top w:val="none" w:sz="0" w:space="0" w:color="auto"/>
                                        <w:left w:val="none" w:sz="0" w:space="0" w:color="auto"/>
                                        <w:bottom w:val="none" w:sz="0" w:space="0" w:color="auto"/>
                                        <w:right w:val="none" w:sz="0" w:space="0" w:color="auto"/>
                                      </w:divBdr>
                                      <w:divsChild>
                                        <w:div w:id="2062241377">
                                          <w:marLeft w:val="0"/>
                                          <w:marRight w:val="0"/>
                                          <w:marTop w:val="0"/>
                                          <w:marBottom w:val="0"/>
                                          <w:divBdr>
                                            <w:top w:val="none" w:sz="0" w:space="0" w:color="auto"/>
                                            <w:left w:val="none" w:sz="0" w:space="0" w:color="auto"/>
                                            <w:bottom w:val="none" w:sz="0" w:space="0" w:color="auto"/>
                                            <w:right w:val="none" w:sz="0" w:space="0" w:color="auto"/>
                                          </w:divBdr>
                                        </w:div>
                                      </w:divsChild>
                                    </w:div>
                                    <w:div w:id="804667354">
                                      <w:marLeft w:val="0"/>
                                      <w:marRight w:val="0"/>
                                      <w:marTop w:val="0"/>
                                      <w:marBottom w:val="0"/>
                                      <w:divBdr>
                                        <w:top w:val="none" w:sz="0" w:space="0" w:color="auto"/>
                                        <w:left w:val="none" w:sz="0" w:space="0" w:color="auto"/>
                                        <w:bottom w:val="none" w:sz="0" w:space="0" w:color="auto"/>
                                        <w:right w:val="none" w:sz="0" w:space="0" w:color="auto"/>
                                      </w:divBdr>
                                      <w:divsChild>
                                        <w:div w:id="831144986">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8123896">
      <w:bodyDiv w:val="1"/>
      <w:marLeft w:val="0"/>
      <w:marRight w:val="0"/>
      <w:marTop w:val="0"/>
      <w:marBottom w:val="0"/>
      <w:divBdr>
        <w:top w:val="none" w:sz="0" w:space="0" w:color="auto"/>
        <w:left w:val="none" w:sz="0" w:space="0" w:color="auto"/>
        <w:bottom w:val="none" w:sz="0" w:space="0" w:color="auto"/>
        <w:right w:val="none" w:sz="0" w:space="0" w:color="auto"/>
      </w:divBdr>
    </w:div>
    <w:div w:id="295719336">
      <w:bodyDiv w:val="1"/>
      <w:marLeft w:val="0"/>
      <w:marRight w:val="0"/>
      <w:marTop w:val="0"/>
      <w:marBottom w:val="0"/>
      <w:divBdr>
        <w:top w:val="none" w:sz="0" w:space="0" w:color="auto"/>
        <w:left w:val="none" w:sz="0" w:space="0" w:color="auto"/>
        <w:bottom w:val="none" w:sz="0" w:space="0" w:color="auto"/>
        <w:right w:val="none" w:sz="0" w:space="0" w:color="auto"/>
      </w:divBdr>
    </w:div>
    <w:div w:id="303124306">
      <w:bodyDiv w:val="1"/>
      <w:marLeft w:val="0"/>
      <w:marRight w:val="0"/>
      <w:marTop w:val="0"/>
      <w:marBottom w:val="0"/>
      <w:divBdr>
        <w:top w:val="none" w:sz="0" w:space="0" w:color="auto"/>
        <w:left w:val="none" w:sz="0" w:space="0" w:color="auto"/>
        <w:bottom w:val="none" w:sz="0" w:space="0" w:color="auto"/>
        <w:right w:val="none" w:sz="0" w:space="0" w:color="auto"/>
      </w:divBdr>
    </w:div>
    <w:div w:id="305665368">
      <w:bodyDiv w:val="1"/>
      <w:marLeft w:val="0"/>
      <w:marRight w:val="0"/>
      <w:marTop w:val="0"/>
      <w:marBottom w:val="0"/>
      <w:divBdr>
        <w:top w:val="none" w:sz="0" w:space="0" w:color="auto"/>
        <w:left w:val="none" w:sz="0" w:space="0" w:color="auto"/>
        <w:bottom w:val="none" w:sz="0" w:space="0" w:color="auto"/>
        <w:right w:val="none" w:sz="0" w:space="0" w:color="auto"/>
      </w:divBdr>
    </w:div>
    <w:div w:id="308753012">
      <w:bodyDiv w:val="1"/>
      <w:marLeft w:val="0"/>
      <w:marRight w:val="0"/>
      <w:marTop w:val="0"/>
      <w:marBottom w:val="0"/>
      <w:divBdr>
        <w:top w:val="none" w:sz="0" w:space="0" w:color="auto"/>
        <w:left w:val="none" w:sz="0" w:space="0" w:color="auto"/>
        <w:bottom w:val="none" w:sz="0" w:space="0" w:color="auto"/>
        <w:right w:val="none" w:sz="0" w:space="0" w:color="auto"/>
      </w:divBdr>
    </w:div>
    <w:div w:id="310793953">
      <w:bodyDiv w:val="1"/>
      <w:marLeft w:val="0"/>
      <w:marRight w:val="0"/>
      <w:marTop w:val="0"/>
      <w:marBottom w:val="0"/>
      <w:divBdr>
        <w:top w:val="none" w:sz="0" w:space="0" w:color="auto"/>
        <w:left w:val="none" w:sz="0" w:space="0" w:color="auto"/>
        <w:bottom w:val="none" w:sz="0" w:space="0" w:color="auto"/>
        <w:right w:val="none" w:sz="0" w:space="0" w:color="auto"/>
      </w:divBdr>
    </w:div>
    <w:div w:id="319701712">
      <w:bodyDiv w:val="1"/>
      <w:marLeft w:val="0"/>
      <w:marRight w:val="0"/>
      <w:marTop w:val="0"/>
      <w:marBottom w:val="0"/>
      <w:divBdr>
        <w:top w:val="none" w:sz="0" w:space="0" w:color="auto"/>
        <w:left w:val="none" w:sz="0" w:space="0" w:color="auto"/>
        <w:bottom w:val="none" w:sz="0" w:space="0" w:color="auto"/>
        <w:right w:val="none" w:sz="0" w:space="0" w:color="auto"/>
      </w:divBdr>
    </w:div>
    <w:div w:id="322512040">
      <w:bodyDiv w:val="1"/>
      <w:marLeft w:val="0"/>
      <w:marRight w:val="0"/>
      <w:marTop w:val="0"/>
      <w:marBottom w:val="0"/>
      <w:divBdr>
        <w:top w:val="none" w:sz="0" w:space="0" w:color="auto"/>
        <w:left w:val="none" w:sz="0" w:space="0" w:color="auto"/>
        <w:bottom w:val="none" w:sz="0" w:space="0" w:color="auto"/>
        <w:right w:val="none" w:sz="0" w:space="0" w:color="auto"/>
      </w:divBdr>
    </w:div>
    <w:div w:id="323363473">
      <w:bodyDiv w:val="1"/>
      <w:marLeft w:val="0"/>
      <w:marRight w:val="0"/>
      <w:marTop w:val="0"/>
      <w:marBottom w:val="0"/>
      <w:divBdr>
        <w:top w:val="none" w:sz="0" w:space="0" w:color="auto"/>
        <w:left w:val="none" w:sz="0" w:space="0" w:color="auto"/>
        <w:bottom w:val="none" w:sz="0" w:space="0" w:color="auto"/>
        <w:right w:val="none" w:sz="0" w:space="0" w:color="auto"/>
      </w:divBdr>
    </w:div>
    <w:div w:id="337927732">
      <w:bodyDiv w:val="1"/>
      <w:marLeft w:val="0"/>
      <w:marRight w:val="0"/>
      <w:marTop w:val="0"/>
      <w:marBottom w:val="0"/>
      <w:divBdr>
        <w:top w:val="none" w:sz="0" w:space="0" w:color="auto"/>
        <w:left w:val="none" w:sz="0" w:space="0" w:color="auto"/>
        <w:bottom w:val="none" w:sz="0" w:space="0" w:color="auto"/>
        <w:right w:val="none" w:sz="0" w:space="0" w:color="auto"/>
      </w:divBdr>
    </w:div>
    <w:div w:id="361172645">
      <w:bodyDiv w:val="1"/>
      <w:marLeft w:val="0"/>
      <w:marRight w:val="0"/>
      <w:marTop w:val="0"/>
      <w:marBottom w:val="0"/>
      <w:divBdr>
        <w:top w:val="none" w:sz="0" w:space="0" w:color="auto"/>
        <w:left w:val="none" w:sz="0" w:space="0" w:color="auto"/>
        <w:bottom w:val="none" w:sz="0" w:space="0" w:color="auto"/>
        <w:right w:val="none" w:sz="0" w:space="0" w:color="auto"/>
      </w:divBdr>
    </w:div>
    <w:div w:id="361830522">
      <w:bodyDiv w:val="1"/>
      <w:marLeft w:val="0"/>
      <w:marRight w:val="0"/>
      <w:marTop w:val="0"/>
      <w:marBottom w:val="0"/>
      <w:divBdr>
        <w:top w:val="none" w:sz="0" w:space="0" w:color="auto"/>
        <w:left w:val="none" w:sz="0" w:space="0" w:color="auto"/>
        <w:bottom w:val="none" w:sz="0" w:space="0" w:color="auto"/>
        <w:right w:val="none" w:sz="0" w:space="0" w:color="auto"/>
      </w:divBdr>
    </w:div>
    <w:div w:id="376666650">
      <w:bodyDiv w:val="1"/>
      <w:marLeft w:val="0"/>
      <w:marRight w:val="0"/>
      <w:marTop w:val="0"/>
      <w:marBottom w:val="0"/>
      <w:divBdr>
        <w:top w:val="none" w:sz="0" w:space="0" w:color="auto"/>
        <w:left w:val="none" w:sz="0" w:space="0" w:color="auto"/>
        <w:bottom w:val="none" w:sz="0" w:space="0" w:color="auto"/>
        <w:right w:val="none" w:sz="0" w:space="0" w:color="auto"/>
      </w:divBdr>
    </w:div>
    <w:div w:id="380861409">
      <w:bodyDiv w:val="1"/>
      <w:marLeft w:val="0"/>
      <w:marRight w:val="0"/>
      <w:marTop w:val="0"/>
      <w:marBottom w:val="0"/>
      <w:divBdr>
        <w:top w:val="none" w:sz="0" w:space="0" w:color="auto"/>
        <w:left w:val="none" w:sz="0" w:space="0" w:color="auto"/>
        <w:bottom w:val="none" w:sz="0" w:space="0" w:color="auto"/>
        <w:right w:val="none" w:sz="0" w:space="0" w:color="auto"/>
      </w:divBdr>
    </w:div>
    <w:div w:id="384839933">
      <w:bodyDiv w:val="1"/>
      <w:marLeft w:val="0"/>
      <w:marRight w:val="0"/>
      <w:marTop w:val="0"/>
      <w:marBottom w:val="0"/>
      <w:divBdr>
        <w:top w:val="none" w:sz="0" w:space="0" w:color="auto"/>
        <w:left w:val="none" w:sz="0" w:space="0" w:color="auto"/>
        <w:bottom w:val="none" w:sz="0" w:space="0" w:color="auto"/>
        <w:right w:val="none" w:sz="0" w:space="0" w:color="auto"/>
      </w:divBdr>
    </w:div>
    <w:div w:id="391006083">
      <w:bodyDiv w:val="1"/>
      <w:marLeft w:val="0"/>
      <w:marRight w:val="0"/>
      <w:marTop w:val="0"/>
      <w:marBottom w:val="0"/>
      <w:divBdr>
        <w:top w:val="none" w:sz="0" w:space="0" w:color="auto"/>
        <w:left w:val="none" w:sz="0" w:space="0" w:color="auto"/>
        <w:bottom w:val="none" w:sz="0" w:space="0" w:color="auto"/>
        <w:right w:val="none" w:sz="0" w:space="0" w:color="auto"/>
      </w:divBdr>
      <w:divsChild>
        <w:div w:id="1410077870">
          <w:marLeft w:val="0"/>
          <w:marRight w:val="0"/>
          <w:marTop w:val="0"/>
          <w:marBottom w:val="0"/>
          <w:divBdr>
            <w:top w:val="none" w:sz="0" w:space="0" w:color="auto"/>
            <w:left w:val="none" w:sz="0" w:space="0" w:color="auto"/>
            <w:bottom w:val="none" w:sz="0" w:space="0" w:color="auto"/>
            <w:right w:val="none" w:sz="0" w:space="0" w:color="auto"/>
          </w:divBdr>
        </w:div>
        <w:div w:id="1857384298">
          <w:marLeft w:val="0"/>
          <w:marRight w:val="0"/>
          <w:marTop w:val="0"/>
          <w:marBottom w:val="0"/>
          <w:divBdr>
            <w:top w:val="none" w:sz="0" w:space="0" w:color="auto"/>
            <w:left w:val="none" w:sz="0" w:space="0" w:color="auto"/>
            <w:bottom w:val="none" w:sz="0" w:space="0" w:color="auto"/>
            <w:right w:val="none" w:sz="0" w:space="0" w:color="auto"/>
          </w:divBdr>
        </w:div>
        <w:div w:id="1400903184">
          <w:marLeft w:val="0"/>
          <w:marRight w:val="0"/>
          <w:marTop w:val="0"/>
          <w:marBottom w:val="0"/>
          <w:divBdr>
            <w:top w:val="none" w:sz="0" w:space="0" w:color="auto"/>
            <w:left w:val="none" w:sz="0" w:space="0" w:color="auto"/>
            <w:bottom w:val="none" w:sz="0" w:space="0" w:color="auto"/>
            <w:right w:val="none" w:sz="0" w:space="0" w:color="auto"/>
          </w:divBdr>
        </w:div>
        <w:div w:id="1672105463">
          <w:marLeft w:val="0"/>
          <w:marRight w:val="0"/>
          <w:marTop w:val="0"/>
          <w:marBottom w:val="0"/>
          <w:divBdr>
            <w:top w:val="none" w:sz="0" w:space="0" w:color="auto"/>
            <w:left w:val="none" w:sz="0" w:space="0" w:color="auto"/>
            <w:bottom w:val="none" w:sz="0" w:space="0" w:color="auto"/>
            <w:right w:val="none" w:sz="0" w:space="0" w:color="auto"/>
          </w:divBdr>
        </w:div>
        <w:div w:id="1419327955">
          <w:marLeft w:val="0"/>
          <w:marRight w:val="0"/>
          <w:marTop w:val="0"/>
          <w:marBottom w:val="0"/>
          <w:divBdr>
            <w:top w:val="none" w:sz="0" w:space="0" w:color="auto"/>
            <w:left w:val="none" w:sz="0" w:space="0" w:color="auto"/>
            <w:bottom w:val="none" w:sz="0" w:space="0" w:color="auto"/>
            <w:right w:val="none" w:sz="0" w:space="0" w:color="auto"/>
          </w:divBdr>
        </w:div>
        <w:div w:id="2023043794">
          <w:marLeft w:val="0"/>
          <w:marRight w:val="0"/>
          <w:marTop w:val="0"/>
          <w:marBottom w:val="0"/>
          <w:divBdr>
            <w:top w:val="none" w:sz="0" w:space="0" w:color="auto"/>
            <w:left w:val="none" w:sz="0" w:space="0" w:color="auto"/>
            <w:bottom w:val="none" w:sz="0" w:space="0" w:color="auto"/>
            <w:right w:val="none" w:sz="0" w:space="0" w:color="auto"/>
          </w:divBdr>
        </w:div>
        <w:div w:id="727415047">
          <w:marLeft w:val="0"/>
          <w:marRight w:val="0"/>
          <w:marTop w:val="0"/>
          <w:marBottom w:val="0"/>
          <w:divBdr>
            <w:top w:val="none" w:sz="0" w:space="0" w:color="auto"/>
            <w:left w:val="none" w:sz="0" w:space="0" w:color="auto"/>
            <w:bottom w:val="none" w:sz="0" w:space="0" w:color="auto"/>
            <w:right w:val="none" w:sz="0" w:space="0" w:color="auto"/>
          </w:divBdr>
        </w:div>
        <w:div w:id="865168725">
          <w:marLeft w:val="0"/>
          <w:marRight w:val="0"/>
          <w:marTop w:val="0"/>
          <w:marBottom w:val="0"/>
          <w:divBdr>
            <w:top w:val="none" w:sz="0" w:space="0" w:color="auto"/>
            <w:left w:val="none" w:sz="0" w:space="0" w:color="auto"/>
            <w:bottom w:val="none" w:sz="0" w:space="0" w:color="auto"/>
            <w:right w:val="none" w:sz="0" w:space="0" w:color="auto"/>
          </w:divBdr>
        </w:div>
        <w:div w:id="1245139888">
          <w:marLeft w:val="0"/>
          <w:marRight w:val="0"/>
          <w:marTop w:val="0"/>
          <w:marBottom w:val="0"/>
          <w:divBdr>
            <w:top w:val="none" w:sz="0" w:space="0" w:color="auto"/>
            <w:left w:val="none" w:sz="0" w:space="0" w:color="auto"/>
            <w:bottom w:val="none" w:sz="0" w:space="0" w:color="auto"/>
            <w:right w:val="none" w:sz="0" w:space="0" w:color="auto"/>
          </w:divBdr>
        </w:div>
        <w:div w:id="952707941">
          <w:marLeft w:val="0"/>
          <w:marRight w:val="0"/>
          <w:marTop w:val="0"/>
          <w:marBottom w:val="0"/>
          <w:divBdr>
            <w:top w:val="none" w:sz="0" w:space="0" w:color="auto"/>
            <w:left w:val="none" w:sz="0" w:space="0" w:color="auto"/>
            <w:bottom w:val="none" w:sz="0" w:space="0" w:color="auto"/>
            <w:right w:val="none" w:sz="0" w:space="0" w:color="auto"/>
          </w:divBdr>
        </w:div>
        <w:div w:id="1296987759">
          <w:marLeft w:val="0"/>
          <w:marRight w:val="0"/>
          <w:marTop w:val="0"/>
          <w:marBottom w:val="0"/>
          <w:divBdr>
            <w:top w:val="none" w:sz="0" w:space="0" w:color="auto"/>
            <w:left w:val="none" w:sz="0" w:space="0" w:color="auto"/>
            <w:bottom w:val="none" w:sz="0" w:space="0" w:color="auto"/>
            <w:right w:val="none" w:sz="0" w:space="0" w:color="auto"/>
          </w:divBdr>
        </w:div>
        <w:div w:id="653414299">
          <w:marLeft w:val="0"/>
          <w:marRight w:val="0"/>
          <w:marTop w:val="0"/>
          <w:marBottom w:val="0"/>
          <w:divBdr>
            <w:top w:val="none" w:sz="0" w:space="0" w:color="auto"/>
            <w:left w:val="none" w:sz="0" w:space="0" w:color="auto"/>
            <w:bottom w:val="none" w:sz="0" w:space="0" w:color="auto"/>
            <w:right w:val="none" w:sz="0" w:space="0" w:color="auto"/>
          </w:divBdr>
        </w:div>
        <w:div w:id="1663316165">
          <w:marLeft w:val="0"/>
          <w:marRight w:val="0"/>
          <w:marTop w:val="0"/>
          <w:marBottom w:val="0"/>
          <w:divBdr>
            <w:top w:val="none" w:sz="0" w:space="0" w:color="auto"/>
            <w:left w:val="none" w:sz="0" w:space="0" w:color="auto"/>
            <w:bottom w:val="none" w:sz="0" w:space="0" w:color="auto"/>
            <w:right w:val="none" w:sz="0" w:space="0" w:color="auto"/>
          </w:divBdr>
        </w:div>
        <w:div w:id="506214869">
          <w:marLeft w:val="0"/>
          <w:marRight w:val="0"/>
          <w:marTop w:val="0"/>
          <w:marBottom w:val="0"/>
          <w:divBdr>
            <w:top w:val="none" w:sz="0" w:space="0" w:color="auto"/>
            <w:left w:val="none" w:sz="0" w:space="0" w:color="auto"/>
            <w:bottom w:val="none" w:sz="0" w:space="0" w:color="auto"/>
            <w:right w:val="none" w:sz="0" w:space="0" w:color="auto"/>
          </w:divBdr>
        </w:div>
        <w:div w:id="1261719051">
          <w:marLeft w:val="0"/>
          <w:marRight w:val="0"/>
          <w:marTop w:val="0"/>
          <w:marBottom w:val="0"/>
          <w:divBdr>
            <w:top w:val="none" w:sz="0" w:space="0" w:color="auto"/>
            <w:left w:val="none" w:sz="0" w:space="0" w:color="auto"/>
            <w:bottom w:val="none" w:sz="0" w:space="0" w:color="auto"/>
            <w:right w:val="none" w:sz="0" w:space="0" w:color="auto"/>
          </w:divBdr>
        </w:div>
        <w:div w:id="1024092078">
          <w:marLeft w:val="0"/>
          <w:marRight w:val="0"/>
          <w:marTop w:val="0"/>
          <w:marBottom w:val="0"/>
          <w:divBdr>
            <w:top w:val="none" w:sz="0" w:space="0" w:color="auto"/>
            <w:left w:val="none" w:sz="0" w:space="0" w:color="auto"/>
            <w:bottom w:val="none" w:sz="0" w:space="0" w:color="auto"/>
            <w:right w:val="none" w:sz="0" w:space="0" w:color="auto"/>
          </w:divBdr>
        </w:div>
        <w:div w:id="854686526">
          <w:marLeft w:val="0"/>
          <w:marRight w:val="0"/>
          <w:marTop w:val="0"/>
          <w:marBottom w:val="0"/>
          <w:divBdr>
            <w:top w:val="none" w:sz="0" w:space="0" w:color="auto"/>
            <w:left w:val="none" w:sz="0" w:space="0" w:color="auto"/>
            <w:bottom w:val="none" w:sz="0" w:space="0" w:color="auto"/>
            <w:right w:val="none" w:sz="0" w:space="0" w:color="auto"/>
          </w:divBdr>
        </w:div>
        <w:div w:id="2018265535">
          <w:marLeft w:val="0"/>
          <w:marRight w:val="0"/>
          <w:marTop w:val="0"/>
          <w:marBottom w:val="0"/>
          <w:divBdr>
            <w:top w:val="none" w:sz="0" w:space="0" w:color="auto"/>
            <w:left w:val="none" w:sz="0" w:space="0" w:color="auto"/>
            <w:bottom w:val="none" w:sz="0" w:space="0" w:color="auto"/>
            <w:right w:val="none" w:sz="0" w:space="0" w:color="auto"/>
          </w:divBdr>
        </w:div>
        <w:div w:id="1470977333">
          <w:marLeft w:val="0"/>
          <w:marRight w:val="0"/>
          <w:marTop w:val="0"/>
          <w:marBottom w:val="0"/>
          <w:divBdr>
            <w:top w:val="none" w:sz="0" w:space="0" w:color="auto"/>
            <w:left w:val="none" w:sz="0" w:space="0" w:color="auto"/>
            <w:bottom w:val="none" w:sz="0" w:space="0" w:color="auto"/>
            <w:right w:val="none" w:sz="0" w:space="0" w:color="auto"/>
          </w:divBdr>
        </w:div>
        <w:div w:id="41053459">
          <w:marLeft w:val="0"/>
          <w:marRight w:val="0"/>
          <w:marTop w:val="0"/>
          <w:marBottom w:val="0"/>
          <w:divBdr>
            <w:top w:val="none" w:sz="0" w:space="0" w:color="auto"/>
            <w:left w:val="none" w:sz="0" w:space="0" w:color="auto"/>
            <w:bottom w:val="none" w:sz="0" w:space="0" w:color="auto"/>
            <w:right w:val="none" w:sz="0" w:space="0" w:color="auto"/>
          </w:divBdr>
        </w:div>
        <w:div w:id="560796447">
          <w:marLeft w:val="0"/>
          <w:marRight w:val="0"/>
          <w:marTop w:val="0"/>
          <w:marBottom w:val="0"/>
          <w:divBdr>
            <w:top w:val="none" w:sz="0" w:space="0" w:color="auto"/>
            <w:left w:val="none" w:sz="0" w:space="0" w:color="auto"/>
            <w:bottom w:val="none" w:sz="0" w:space="0" w:color="auto"/>
            <w:right w:val="none" w:sz="0" w:space="0" w:color="auto"/>
          </w:divBdr>
        </w:div>
        <w:div w:id="627781820">
          <w:marLeft w:val="0"/>
          <w:marRight w:val="0"/>
          <w:marTop w:val="0"/>
          <w:marBottom w:val="0"/>
          <w:divBdr>
            <w:top w:val="none" w:sz="0" w:space="0" w:color="auto"/>
            <w:left w:val="none" w:sz="0" w:space="0" w:color="auto"/>
            <w:bottom w:val="none" w:sz="0" w:space="0" w:color="auto"/>
            <w:right w:val="none" w:sz="0" w:space="0" w:color="auto"/>
          </w:divBdr>
        </w:div>
        <w:div w:id="667514712">
          <w:marLeft w:val="0"/>
          <w:marRight w:val="0"/>
          <w:marTop w:val="0"/>
          <w:marBottom w:val="0"/>
          <w:divBdr>
            <w:top w:val="none" w:sz="0" w:space="0" w:color="auto"/>
            <w:left w:val="none" w:sz="0" w:space="0" w:color="auto"/>
            <w:bottom w:val="none" w:sz="0" w:space="0" w:color="auto"/>
            <w:right w:val="none" w:sz="0" w:space="0" w:color="auto"/>
          </w:divBdr>
        </w:div>
        <w:div w:id="350961284">
          <w:marLeft w:val="0"/>
          <w:marRight w:val="0"/>
          <w:marTop w:val="0"/>
          <w:marBottom w:val="0"/>
          <w:divBdr>
            <w:top w:val="none" w:sz="0" w:space="0" w:color="auto"/>
            <w:left w:val="none" w:sz="0" w:space="0" w:color="auto"/>
            <w:bottom w:val="none" w:sz="0" w:space="0" w:color="auto"/>
            <w:right w:val="none" w:sz="0" w:space="0" w:color="auto"/>
          </w:divBdr>
        </w:div>
        <w:div w:id="821968763">
          <w:marLeft w:val="0"/>
          <w:marRight w:val="0"/>
          <w:marTop w:val="0"/>
          <w:marBottom w:val="0"/>
          <w:divBdr>
            <w:top w:val="none" w:sz="0" w:space="0" w:color="auto"/>
            <w:left w:val="none" w:sz="0" w:space="0" w:color="auto"/>
            <w:bottom w:val="none" w:sz="0" w:space="0" w:color="auto"/>
            <w:right w:val="none" w:sz="0" w:space="0" w:color="auto"/>
          </w:divBdr>
        </w:div>
        <w:div w:id="840510322">
          <w:marLeft w:val="0"/>
          <w:marRight w:val="0"/>
          <w:marTop w:val="0"/>
          <w:marBottom w:val="0"/>
          <w:divBdr>
            <w:top w:val="none" w:sz="0" w:space="0" w:color="auto"/>
            <w:left w:val="none" w:sz="0" w:space="0" w:color="auto"/>
            <w:bottom w:val="none" w:sz="0" w:space="0" w:color="auto"/>
            <w:right w:val="none" w:sz="0" w:space="0" w:color="auto"/>
          </w:divBdr>
        </w:div>
        <w:div w:id="1346444997">
          <w:marLeft w:val="0"/>
          <w:marRight w:val="0"/>
          <w:marTop w:val="0"/>
          <w:marBottom w:val="0"/>
          <w:divBdr>
            <w:top w:val="none" w:sz="0" w:space="0" w:color="auto"/>
            <w:left w:val="none" w:sz="0" w:space="0" w:color="auto"/>
            <w:bottom w:val="none" w:sz="0" w:space="0" w:color="auto"/>
            <w:right w:val="none" w:sz="0" w:space="0" w:color="auto"/>
          </w:divBdr>
        </w:div>
        <w:div w:id="117995172">
          <w:marLeft w:val="0"/>
          <w:marRight w:val="0"/>
          <w:marTop w:val="0"/>
          <w:marBottom w:val="0"/>
          <w:divBdr>
            <w:top w:val="none" w:sz="0" w:space="0" w:color="auto"/>
            <w:left w:val="none" w:sz="0" w:space="0" w:color="auto"/>
            <w:bottom w:val="none" w:sz="0" w:space="0" w:color="auto"/>
            <w:right w:val="none" w:sz="0" w:space="0" w:color="auto"/>
          </w:divBdr>
        </w:div>
        <w:div w:id="1394432269">
          <w:marLeft w:val="0"/>
          <w:marRight w:val="0"/>
          <w:marTop w:val="0"/>
          <w:marBottom w:val="0"/>
          <w:divBdr>
            <w:top w:val="none" w:sz="0" w:space="0" w:color="auto"/>
            <w:left w:val="none" w:sz="0" w:space="0" w:color="auto"/>
            <w:bottom w:val="none" w:sz="0" w:space="0" w:color="auto"/>
            <w:right w:val="none" w:sz="0" w:space="0" w:color="auto"/>
          </w:divBdr>
        </w:div>
        <w:div w:id="1428699642">
          <w:marLeft w:val="0"/>
          <w:marRight w:val="0"/>
          <w:marTop w:val="0"/>
          <w:marBottom w:val="0"/>
          <w:divBdr>
            <w:top w:val="none" w:sz="0" w:space="0" w:color="auto"/>
            <w:left w:val="none" w:sz="0" w:space="0" w:color="auto"/>
            <w:bottom w:val="none" w:sz="0" w:space="0" w:color="auto"/>
            <w:right w:val="none" w:sz="0" w:space="0" w:color="auto"/>
          </w:divBdr>
        </w:div>
        <w:div w:id="1265723887">
          <w:marLeft w:val="0"/>
          <w:marRight w:val="0"/>
          <w:marTop w:val="0"/>
          <w:marBottom w:val="0"/>
          <w:divBdr>
            <w:top w:val="none" w:sz="0" w:space="0" w:color="auto"/>
            <w:left w:val="none" w:sz="0" w:space="0" w:color="auto"/>
            <w:bottom w:val="none" w:sz="0" w:space="0" w:color="auto"/>
            <w:right w:val="none" w:sz="0" w:space="0" w:color="auto"/>
          </w:divBdr>
        </w:div>
        <w:div w:id="758604393">
          <w:marLeft w:val="0"/>
          <w:marRight w:val="0"/>
          <w:marTop w:val="0"/>
          <w:marBottom w:val="0"/>
          <w:divBdr>
            <w:top w:val="none" w:sz="0" w:space="0" w:color="auto"/>
            <w:left w:val="none" w:sz="0" w:space="0" w:color="auto"/>
            <w:bottom w:val="none" w:sz="0" w:space="0" w:color="auto"/>
            <w:right w:val="none" w:sz="0" w:space="0" w:color="auto"/>
          </w:divBdr>
        </w:div>
        <w:div w:id="1175917590">
          <w:marLeft w:val="0"/>
          <w:marRight w:val="0"/>
          <w:marTop w:val="0"/>
          <w:marBottom w:val="0"/>
          <w:divBdr>
            <w:top w:val="none" w:sz="0" w:space="0" w:color="auto"/>
            <w:left w:val="none" w:sz="0" w:space="0" w:color="auto"/>
            <w:bottom w:val="none" w:sz="0" w:space="0" w:color="auto"/>
            <w:right w:val="none" w:sz="0" w:space="0" w:color="auto"/>
          </w:divBdr>
        </w:div>
        <w:div w:id="1102453378">
          <w:marLeft w:val="0"/>
          <w:marRight w:val="0"/>
          <w:marTop w:val="0"/>
          <w:marBottom w:val="0"/>
          <w:divBdr>
            <w:top w:val="none" w:sz="0" w:space="0" w:color="auto"/>
            <w:left w:val="none" w:sz="0" w:space="0" w:color="auto"/>
            <w:bottom w:val="none" w:sz="0" w:space="0" w:color="auto"/>
            <w:right w:val="none" w:sz="0" w:space="0" w:color="auto"/>
          </w:divBdr>
        </w:div>
        <w:div w:id="1652714020">
          <w:marLeft w:val="0"/>
          <w:marRight w:val="0"/>
          <w:marTop w:val="0"/>
          <w:marBottom w:val="0"/>
          <w:divBdr>
            <w:top w:val="none" w:sz="0" w:space="0" w:color="auto"/>
            <w:left w:val="none" w:sz="0" w:space="0" w:color="auto"/>
            <w:bottom w:val="none" w:sz="0" w:space="0" w:color="auto"/>
            <w:right w:val="none" w:sz="0" w:space="0" w:color="auto"/>
          </w:divBdr>
        </w:div>
        <w:div w:id="145443453">
          <w:marLeft w:val="0"/>
          <w:marRight w:val="0"/>
          <w:marTop w:val="0"/>
          <w:marBottom w:val="0"/>
          <w:divBdr>
            <w:top w:val="none" w:sz="0" w:space="0" w:color="auto"/>
            <w:left w:val="none" w:sz="0" w:space="0" w:color="auto"/>
            <w:bottom w:val="none" w:sz="0" w:space="0" w:color="auto"/>
            <w:right w:val="none" w:sz="0" w:space="0" w:color="auto"/>
          </w:divBdr>
        </w:div>
        <w:div w:id="1286888926">
          <w:marLeft w:val="0"/>
          <w:marRight w:val="0"/>
          <w:marTop w:val="0"/>
          <w:marBottom w:val="0"/>
          <w:divBdr>
            <w:top w:val="none" w:sz="0" w:space="0" w:color="auto"/>
            <w:left w:val="none" w:sz="0" w:space="0" w:color="auto"/>
            <w:bottom w:val="none" w:sz="0" w:space="0" w:color="auto"/>
            <w:right w:val="none" w:sz="0" w:space="0" w:color="auto"/>
          </w:divBdr>
        </w:div>
        <w:div w:id="1960602908">
          <w:marLeft w:val="0"/>
          <w:marRight w:val="0"/>
          <w:marTop w:val="0"/>
          <w:marBottom w:val="0"/>
          <w:divBdr>
            <w:top w:val="none" w:sz="0" w:space="0" w:color="auto"/>
            <w:left w:val="none" w:sz="0" w:space="0" w:color="auto"/>
            <w:bottom w:val="none" w:sz="0" w:space="0" w:color="auto"/>
            <w:right w:val="none" w:sz="0" w:space="0" w:color="auto"/>
          </w:divBdr>
        </w:div>
        <w:div w:id="749892348">
          <w:marLeft w:val="0"/>
          <w:marRight w:val="0"/>
          <w:marTop w:val="0"/>
          <w:marBottom w:val="0"/>
          <w:divBdr>
            <w:top w:val="none" w:sz="0" w:space="0" w:color="auto"/>
            <w:left w:val="none" w:sz="0" w:space="0" w:color="auto"/>
            <w:bottom w:val="none" w:sz="0" w:space="0" w:color="auto"/>
            <w:right w:val="none" w:sz="0" w:space="0" w:color="auto"/>
          </w:divBdr>
        </w:div>
        <w:div w:id="1077750785">
          <w:marLeft w:val="0"/>
          <w:marRight w:val="0"/>
          <w:marTop w:val="0"/>
          <w:marBottom w:val="0"/>
          <w:divBdr>
            <w:top w:val="none" w:sz="0" w:space="0" w:color="auto"/>
            <w:left w:val="none" w:sz="0" w:space="0" w:color="auto"/>
            <w:bottom w:val="none" w:sz="0" w:space="0" w:color="auto"/>
            <w:right w:val="none" w:sz="0" w:space="0" w:color="auto"/>
          </w:divBdr>
        </w:div>
        <w:div w:id="1191262766">
          <w:marLeft w:val="0"/>
          <w:marRight w:val="0"/>
          <w:marTop w:val="0"/>
          <w:marBottom w:val="0"/>
          <w:divBdr>
            <w:top w:val="none" w:sz="0" w:space="0" w:color="auto"/>
            <w:left w:val="none" w:sz="0" w:space="0" w:color="auto"/>
            <w:bottom w:val="none" w:sz="0" w:space="0" w:color="auto"/>
            <w:right w:val="none" w:sz="0" w:space="0" w:color="auto"/>
          </w:divBdr>
        </w:div>
        <w:div w:id="269243385">
          <w:marLeft w:val="0"/>
          <w:marRight w:val="0"/>
          <w:marTop w:val="0"/>
          <w:marBottom w:val="0"/>
          <w:divBdr>
            <w:top w:val="none" w:sz="0" w:space="0" w:color="auto"/>
            <w:left w:val="none" w:sz="0" w:space="0" w:color="auto"/>
            <w:bottom w:val="none" w:sz="0" w:space="0" w:color="auto"/>
            <w:right w:val="none" w:sz="0" w:space="0" w:color="auto"/>
          </w:divBdr>
        </w:div>
        <w:div w:id="1836872360">
          <w:marLeft w:val="0"/>
          <w:marRight w:val="0"/>
          <w:marTop w:val="0"/>
          <w:marBottom w:val="0"/>
          <w:divBdr>
            <w:top w:val="none" w:sz="0" w:space="0" w:color="auto"/>
            <w:left w:val="none" w:sz="0" w:space="0" w:color="auto"/>
            <w:bottom w:val="none" w:sz="0" w:space="0" w:color="auto"/>
            <w:right w:val="none" w:sz="0" w:space="0" w:color="auto"/>
          </w:divBdr>
        </w:div>
        <w:div w:id="1298222857">
          <w:marLeft w:val="0"/>
          <w:marRight w:val="0"/>
          <w:marTop w:val="0"/>
          <w:marBottom w:val="0"/>
          <w:divBdr>
            <w:top w:val="none" w:sz="0" w:space="0" w:color="auto"/>
            <w:left w:val="none" w:sz="0" w:space="0" w:color="auto"/>
            <w:bottom w:val="none" w:sz="0" w:space="0" w:color="auto"/>
            <w:right w:val="none" w:sz="0" w:space="0" w:color="auto"/>
          </w:divBdr>
        </w:div>
        <w:div w:id="1771967224">
          <w:marLeft w:val="0"/>
          <w:marRight w:val="0"/>
          <w:marTop w:val="0"/>
          <w:marBottom w:val="0"/>
          <w:divBdr>
            <w:top w:val="none" w:sz="0" w:space="0" w:color="auto"/>
            <w:left w:val="none" w:sz="0" w:space="0" w:color="auto"/>
            <w:bottom w:val="none" w:sz="0" w:space="0" w:color="auto"/>
            <w:right w:val="none" w:sz="0" w:space="0" w:color="auto"/>
          </w:divBdr>
        </w:div>
        <w:div w:id="1394506355">
          <w:marLeft w:val="0"/>
          <w:marRight w:val="0"/>
          <w:marTop w:val="0"/>
          <w:marBottom w:val="0"/>
          <w:divBdr>
            <w:top w:val="none" w:sz="0" w:space="0" w:color="auto"/>
            <w:left w:val="none" w:sz="0" w:space="0" w:color="auto"/>
            <w:bottom w:val="none" w:sz="0" w:space="0" w:color="auto"/>
            <w:right w:val="none" w:sz="0" w:space="0" w:color="auto"/>
          </w:divBdr>
        </w:div>
        <w:div w:id="1047682153">
          <w:marLeft w:val="0"/>
          <w:marRight w:val="0"/>
          <w:marTop w:val="0"/>
          <w:marBottom w:val="0"/>
          <w:divBdr>
            <w:top w:val="none" w:sz="0" w:space="0" w:color="auto"/>
            <w:left w:val="none" w:sz="0" w:space="0" w:color="auto"/>
            <w:bottom w:val="none" w:sz="0" w:space="0" w:color="auto"/>
            <w:right w:val="none" w:sz="0" w:space="0" w:color="auto"/>
          </w:divBdr>
        </w:div>
        <w:div w:id="1045716591">
          <w:marLeft w:val="0"/>
          <w:marRight w:val="0"/>
          <w:marTop w:val="0"/>
          <w:marBottom w:val="0"/>
          <w:divBdr>
            <w:top w:val="none" w:sz="0" w:space="0" w:color="auto"/>
            <w:left w:val="none" w:sz="0" w:space="0" w:color="auto"/>
            <w:bottom w:val="none" w:sz="0" w:space="0" w:color="auto"/>
            <w:right w:val="none" w:sz="0" w:space="0" w:color="auto"/>
          </w:divBdr>
        </w:div>
        <w:div w:id="2040006061">
          <w:marLeft w:val="0"/>
          <w:marRight w:val="0"/>
          <w:marTop w:val="0"/>
          <w:marBottom w:val="0"/>
          <w:divBdr>
            <w:top w:val="none" w:sz="0" w:space="0" w:color="auto"/>
            <w:left w:val="none" w:sz="0" w:space="0" w:color="auto"/>
            <w:bottom w:val="none" w:sz="0" w:space="0" w:color="auto"/>
            <w:right w:val="none" w:sz="0" w:space="0" w:color="auto"/>
          </w:divBdr>
        </w:div>
        <w:div w:id="1451970526">
          <w:marLeft w:val="0"/>
          <w:marRight w:val="0"/>
          <w:marTop w:val="0"/>
          <w:marBottom w:val="0"/>
          <w:divBdr>
            <w:top w:val="none" w:sz="0" w:space="0" w:color="auto"/>
            <w:left w:val="none" w:sz="0" w:space="0" w:color="auto"/>
            <w:bottom w:val="none" w:sz="0" w:space="0" w:color="auto"/>
            <w:right w:val="none" w:sz="0" w:space="0" w:color="auto"/>
          </w:divBdr>
        </w:div>
        <w:div w:id="535043573">
          <w:marLeft w:val="0"/>
          <w:marRight w:val="0"/>
          <w:marTop w:val="0"/>
          <w:marBottom w:val="0"/>
          <w:divBdr>
            <w:top w:val="none" w:sz="0" w:space="0" w:color="auto"/>
            <w:left w:val="none" w:sz="0" w:space="0" w:color="auto"/>
            <w:bottom w:val="none" w:sz="0" w:space="0" w:color="auto"/>
            <w:right w:val="none" w:sz="0" w:space="0" w:color="auto"/>
          </w:divBdr>
        </w:div>
        <w:div w:id="1563831471">
          <w:marLeft w:val="0"/>
          <w:marRight w:val="0"/>
          <w:marTop w:val="0"/>
          <w:marBottom w:val="0"/>
          <w:divBdr>
            <w:top w:val="none" w:sz="0" w:space="0" w:color="auto"/>
            <w:left w:val="none" w:sz="0" w:space="0" w:color="auto"/>
            <w:bottom w:val="none" w:sz="0" w:space="0" w:color="auto"/>
            <w:right w:val="none" w:sz="0" w:space="0" w:color="auto"/>
          </w:divBdr>
        </w:div>
        <w:div w:id="1532642736">
          <w:marLeft w:val="0"/>
          <w:marRight w:val="0"/>
          <w:marTop w:val="0"/>
          <w:marBottom w:val="0"/>
          <w:divBdr>
            <w:top w:val="none" w:sz="0" w:space="0" w:color="auto"/>
            <w:left w:val="none" w:sz="0" w:space="0" w:color="auto"/>
            <w:bottom w:val="none" w:sz="0" w:space="0" w:color="auto"/>
            <w:right w:val="none" w:sz="0" w:space="0" w:color="auto"/>
          </w:divBdr>
        </w:div>
        <w:div w:id="1707024853">
          <w:marLeft w:val="0"/>
          <w:marRight w:val="0"/>
          <w:marTop w:val="0"/>
          <w:marBottom w:val="0"/>
          <w:divBdr>
            <w:top w:val="none" w:sz="0" w:space="0" w:color="auto"/>
            <w:left w:val="none" w:sz="0" w:space="0" w:color="auto"/>
            <w:bottom w:val="none" w:sz="0" w:space="0" w:color="auto"/>
            <w:right w:val="none" w:sz="0" w:space="0" w:color="auto"/>
          </w:divBdr>
        </w:div>
        <w:div w:id="2145808981">
          <w:marLeft w:val="0"/>
          <w:marRight w:val="0"/>
          <w:marTop w:val="0"/>
          <w:marBottom w:val="0"/>
          <w:divBdr>
            <w:top w:val="none" w:sz="0" w:space="0" w:color="auto"/>
            <w:left w:val="none" w:sz="0" w:space="0" w:color="auto"/>
            <w:bottom w:val="none" w:sz="0" w:space="0" w:color="auto"/>
            <w:right w:val="none" w:sz="0" w:space="0" w:color="auto"/>
          </w:divBdr>
        </w:div>
        <w:div w:id="2125542020">
          <w:marLeft w:val="0"/>
          <w:marRight w:val="0"/>
          <w:marTop w:val="0"/>
          <w:marBottom w:val="0"/>
          <w:divBdr>
            <w:top w:val="none" w:sz="0" w:space="0" w:color="auto"/>
            <w:left w:val="none" w:sz="0" w:space="0" w:color="auto"/>
            <w:bottom w:val="none" w:sz="0" w:space="0" w:color="auto"/>
            <w:right w:val="none" w:sz="0" w:space="0" w:color="auto"/>
          </w:divBdr>
        </w:div>
        <w:div w:id="349529398">
          <w:marLeft w:val="0"/>
          <w:marRight w:val="0"/>
          <w:marTop w:val="0"/>
          <w:marBottom w:val="0"/>
          <w:divBdr>
            <w:top w:val="none" w:sz="0" w:space="0" w:color="auto"/>
            <w:left w:val="none" w:sz="0" w:space="0" w:color="auto"/>
            <w:bottom w:val="none" w:sz="0" w:space="0" w:color="auto"/>
            <w:right w:val="none" w:sz="0" w:space="0" w:color="auto"/>
          </w:divBdr>
        </w:div>
        <w:div w:id="567881367">
          <w:marLeft w:val="0"/>
          <w:marRight w:val="0"/>
          <w:marTop w:val="0"/>
          <w:marBottom w:val="0"/>
          <w:divBdr>
            <w:top w:val="none" w:sz="0" w:space="0" w:color="auto"/>
            <w:left w:val="none" w:sz="0" w:space="0" w:color="auto"/>
            <w:bottom w:val="none" w:sz="0" w:space="0" w:color="auto"/>
            <w:right w:val="none" w:sz="0" w:space="0" w:color="auto"/>
          </w:divBdr>
        </w:div>
        <w:div w:id="451555087">
          <w:marLeft w:val="0"/>
          <w:marRight w:val="0"/>
          <w:marTop w:val="0"/>
          <w:marBottom w:val="0"/>
          <w:divBdr>
            <w:top w:val="none" w:sz="0" w:space="0" w:color="auto"/>
            <w:left w:val="none" w:sz="0" w:space="0" w:color="auto"/>
            <w:bottom w:val="none" w:sz="0" w:space="0" w:color="auto"/>
            <w:right w:val="none" w:sz="0" w:space="0" w:color="auto"/>
          </w:divBdr>
        </w:div>
        <w:div w:id="1514881469">
          <w:marLeft w:val="0"/>
          <w:marRight w:val="0"/>
          <w:marTop w:val="0"/>
          <w:marBottom w:val="0"/>
          <w:divBdr>
            <w:top w:val="none" w:sz="0" w:space="0" w:color="auto"/>
            <w:left w:val="none" w:sz="0" w:space="0" w:color="auto"/>
            <w:bottom w:val="none" w:sz="0" w:space="0" w:color="auto"/>
            <w:right w:val="none" w:sz="0" w:space="0" w:color="auto"/>
          </w:divBdr>
        </w:div>
        <w:div w:id="155539642">
          <w:marLeft w:val="0"/>
          <w:marRight w:val="0"/>
          <w:marTop w:val="0"/>
          <w:marBottom w:val="0"/>
          <w:divBdr>
            <w:top w:val="none" w:sz="0" w:space="0" w:color="auto"/>
            <w:left w:val="none" w:sz="0" w:space="0" w:color="auto"/>
            <w:bottom w:val="none" w:sz="0" w:space="0" w:color="auto"/>
            <w:right w:val="none" w:sz="0" w:space="0" w:color="auto"/>
          </w:divBdr>
        </w:div>
        <w:div w:id="2009363241">
          <w:marLeft w:val="0"/>
          <w:marRight w:val="0"/>
          <w:marTop w:val="0"/>
          <w:marBottom w:val="0"/>
          <w:divBdr>
            <w:top w:val="none" w:sz="0" w:space="0" w:color="auto"/>
            <w:left w:val="none" w:sz="0" w:space="0" w:color="auto"/>
            <w:bottom w:val="none" w:sz="0" w:space="0" w:color="auto"/>
            <w:right w:val="none" w:sz="0" w:space="0" w:color="auto"/>
          </w:divBdr>
        </w:div>
        <w:div w:id="913010594">
          <w:marLeft w:val="0"/>
          <w:marRight w:val="0"/>
          <w:marTop w:val="0"/>
          <w:marBottom w:val="0"/>
          <w:divBdr>
            <w:top w:val="none" w:sz="0" w:space="0" w:color="auto"/>
            <w:left w:val="none" w:sz="0" w:space="0" w:color="auto"/>
            <w:bottom w:val="none" w:sz="0" w:space="0" w:color="auto"/>
            <w:right w:val="none" w:sz="0" w:space="0" w:color="auto"/>
          </w:divBdr>
        </w:div>
        <w:div w:id="248198567">
          <w:marLeft w:val="0"/>
          <w:marRight w:val="0"/>
          <w:marTop w:val="0"/>
          <w:marBottom w:val="0"/>
          <w:divBdr>
            <w:top w:val="none" w:sz="0" w:space="0" w:color="auto"/>
            <w:left w:val="none" w:sz="0" w:space="0" w:color="auto"/>
            <w:bottom w:val="none" w:sz="0" w:space="0" w:color="auto"/>
            <w:right w:val="none" w:sz="0" w:space="0" w:color="auto"/>
          </w:divBdr>
        </w:div>
        <w:div w:id="1739942399">
          <w:marLeft w:val="0"/>
          <w:marRight w:val="0"/>
          <w:marTop w:val="0"/>
          <w:marBottom w:val="0"/>
          <w:divBdr>
            <w:top w:val="none" w:sz="0" w:space="0" w:color="auto"/>
            <w:left w:val="none" w:sz="0" w:space="0" w:color="auto"/>
            <w:bottom w:val="none" w:sz="0" w:space="0" w:color="auto"/>
            <w:right w:val="none" w:sz="0" w:space="0" w:color="auto"/>
          </w:divBdr>
        </w:div>
        <w:div w:id="1527861650">
          <w:marLeft w:val="0"/>
          <w:marRight w:val="0"/>
          <w:marTop w:val="0"/>
          <w:marBottom w:val="0"/>
          <w:divBdr>
            <w:top w:val="none" w:sz="0" w:space="0" w:color="auto"/>
            <w:left w:val="none" w:sz="0" w:space="0" w:color="auto"/>
            <w:bottom w:val="none" w:sz="0" w:space="0" w:color="auto"/>
            <w:right w:val="none" w:sz="0" w:space="0" w:color="auto"/>
          </w:divBdr>
        </w:div>
        <w:div w:id="1966347765">
          <w:marLeft w:val="0"/>
          <w:marRight w:val="0"/>
          <w:marTop w:val="0"/>
          <w:marBottom w:val="0"/>
          <w:divBdr>
            <w:top w:val="none" w:sz="0" w:space="0" w:color="auto"/>
            <w:left w:val="none" w:sz="0" w:space="0" w:color="auto"/>
            <w:bottom w:val="none" w:sz="0" w:space="0" w:color="auto"/>
            <w:right w:val="none" w:sz="0" w:space="0" w:color="auto"/>
          </w:divBdr>
        </w:div>
        <w:div w:id="1567377479">
          <w:marLeft w:val="0"/>
          <w:marRight w:val="0"/>
          <w:marTop w:val="0"/>
          <w:marBottom w:val="0"/>
          <w:divBdr>
            <w:top w:val="none" w:sz="0" w:space="0" w:color="auto"/>
            <w:left w:val="none" w:sz="0" w:space="0" w:color="auto"/>
            <w:bottom w:val="none" w:sz="0" w:space="0" w:color="auto"/>
            <w:right w:val="none" w:sz="0" w:space="0" w:color="auto"/>
          </w:divBdr>
        </w:div>
        <w:div w:id="1590767517">
          <w:marLeft w:val="0"/>
          <w:marRight w:val="0"/>
          <w:marTop w:val="0"/>
          <w:marBottom w:val="0"/>
          <w:divBdr>
            <w:top w:val="none" w:sz="0" w:space="0" w:color="auto"/>
            <w:left w:val="none" w:sz="0" w:space="0" w:color="auto"/>
            <w:bottom w:val="none" w:sz="0" w:space="0" w:color="auto"/>
            <w:right w:val="none" w:sz="0" w:space="0" w:color="auto"/>
          </w:divBdr>
        </w:div>
        <w:div w:id="887299925">
          <w:marLeft w:val="0"/>
          <w:marRight w:val="0"/>
          <w:marTop w:val="0"/>
          <w:marBottom w:val="0"/>
          <w:divBdr>
            <w:top w:val="none" w:sz="0" w:space="0" w:color="auto"/>
            <w:left w:val="none" w:sz="0" w:space="0" w:color="auto"/>
            <w:bottom w:val="none" w:sz="0" w:space="0" w:color="auto"/>
            <w:right w:val="none" w:sz="0" w:space="0" w:color="auto"/>
          </w:divBdr>
        </w:div>
        <w:div w:id="379138457">
          <w:marLeft w:val="0"/>
          <w:marRight w:val="0"/>
          <w:marTop w:val="0"/>
          <w:marBottom w:val="0"/>
          <w:divBdr>
            <w:top w:val="none" w:sz="0" w:space="0" w:color="auto"/>
            <w:left w:val="none" w:sz="0" w:space="0" w:color="auto"/>
            <w:bottom w:val="none" w:sz="0" w:space="0" w:color="auto"/>
            <w:right w:val="none" w:sz="0" w:space="0" w:color="auto"/>
          </w:divBdr>
        </w:div>
        <w:div w:id="574708147">
          <w:marLeft w:val="0"/>
          <w:marRight w:val="0"/>
          <w:marTop w:val="0"/>
          <w:marBottom w:val="0"/>
          <w:divBdr>
            <w:top w:val="none" w:sz="0" w:space="0" w:color="auto"/>
            <w:left w:val="none" w:sz="0" w:space="0" w:color="auto"/>
            <w:bottom w:val="none" w:sz="0" w:space="0" w:color="auto"/>
            <w:right w:val="none" w:sz="0" w:space="0" w:color="auto"/>
          </w:divBdr>
        </w:div>
        <w:div w:id="1446772951">
          <w:marLeft w:val="0"/>
          <w:marRight w:val="0"/>
          <w:marTop w:val="0"/>
          <w:marBottom w:val="0"/>
          <w:divBdr>
            <w:top w:val="none" w:sz="0" w:space="0" w:color="auto"/>
            <w:left w:val="none" w:sz="0" w:space="0" w:color="auto"/>
            <w:bottom w:val="none" w:sz="0" w:space="0" w:color="auto"/>
            <w:right w:val="none" w:sz="0" w:space="0" w:color="auto"/>
          </w:divBdr>
        </w:div>
        <w:div w:id="955915600">
          <w:marLeft w:val="0"/>
          <w:marRight w:val="0"/>
          <w:marTop w:val="0"/>
          <w:marBottom w:val="0"/>
          <w:divBdr>
            <w:top w:val="none" w:sz="0" w:space="0" w:color="auto"/>
            <w:left w:val="none" w:sz="0" w:space="0" w:color="auto"/>
            <w:bottom w:val="none" w:sz="0" w:space="0" w:color="auto"/>
            <w:right w:val="none" w:sz="0" w:space="0" w:color="auto"/>
          </w:divBdr>
        </w:div>
        <w:div w:id="262151613">
          <w:marLeft w:val="0"/>
          <w:marRight w:val="0"/>
          <w:marTop w:val="0"/>
          <w:marBottom w:val="0"/>
          <w:divBdr>
            <w:top w:val="none" w:sz="0" w:space="0" w:color="auto"/>
            <w:left w:val="none" w:sz="0" w:space="0" w:color="auto"/>
            <w:bottom w:val="none" w:sz="0" w:space="0" w:color="auto"/>
            <w:right w:val="none" w:sz="0" w:space="0" w:color="auto"/>
          </w:divBdr>
        </w:div>
        <w:div w:id="2103378315">
          <w:marLeft w:val="0"/>
          <w:marRight w:val="0"/>
          <w:marTop w:val="0"/>
          <w:marBottom w:val="0"/>
          <w:divBdr>
            <w:top w:val="none" w:sz="0" w:space="0" w:color="auto"/>
            <w:left w:val="none" w:sz="0" w:space="0" w:color="auto"/>
            <w:bottom w:val="none" w:sz="0" w:space="0" w:color="auto"/>
            <w:right w:val="none" w:sz="0" w:space="0" w:color="auto"/>
          </w:divBdr>
        </w:div>
        <w:div w:id="1198785304">
          <w:marLeft w:val="0"/>
          <w:marRight w:val="0"/>
          <w:marTop w:val="0"/>
          <w:marBottom w:val="0"/>
          <w:divBdr>
            <w:top w:val="none" w:sz="0" w:space="0" w:color="auto"/>
            <w:left w:val="none" w:sz="0" w:space="0" w:color="auto"/>
            <w:bottom w:val="none" w:sz="0" w:space="0" w:color="auto"/>
            <w:right w:val="none" w:sz="0" w:space="0" w:color="auto"/>
          </w:divBdr>
        </w:div>
        <w:div w:id="714279119">
          <w:marLeft w:val="0"/>
          <w:marRight w:val="0"/>
          <w:marTop w:val="0"/>
          <w:marBottom w:val="0"/>
          <w:divBdr>
            <w:top w:val="none" w:sz="0" w:space="0" w:color="auto"/>
            <w:left w:val="none" w:sz="0" w:space="0" w:color="auto"/>
            <w:bottom w:val="none" w:sz="0" w:space="0" w:color="auto"/>
            <w:right w:val="none" w:sz="0" w:space="0" w:color="auto"/>
          </w:divBdr>
        </w:div>
        <w:div w:id="659845593">
          <w:marLeft w:val="0"/>
          <w:marRight w:val="0"/>
          <w:marTop w:val="0"/>
          <w:marBottom w:val="0"/>
          <w:divBdr>
            <w:top w:val="none" w:sz="0" w:space="0" w:color="auto"/>
            <w:left w:val="none" w:sz="0" w:space="0" w:color="auto"/>
            <w:bottom w:val="none" w:sz="0" w:space="0" w:color="auto"/>
            <w:right w:val="none" w:sz="0" w:space="0" w:color="auto"/>
          </w:divBdr>
        </w:div>
        <w:div w:id="863058272">
          <w:marLeft w:val="0"/>
          <w:marRight w:val="0"/>
          <w:marTop w:val="0"/>
          <w:marBottom w:val="0"/>
          <w:divBdr>
            <w:top w:val="none" w:sz="0" w:space="0" w:color="auto"/>
            <w:left w:val="none" w:sz="0" w:space="0" w:color="auto"/>
            <w:bottom w:val="none" w:sz="0" w:space="0" w:color="auto"/>
            <w:right w:val="none" w:sz="0" w:space="0" w:color="auto"/>
          </w:divBdr>
        </w:div>
        <w:div w:id="224143305">
          <w:marLeft w:val="0"/>
          <w:marRight w:val="0"/>
          <w:marTop w:val="0"/>
          <w:marBottom w:val="0"/>
          <w:divBdr>
            <w:top w:val="none" w:sz="0" w:space="0" w:color="auto"/>
            <w:left w:val="none" w:sz="0" w:space="0" w:color="auto"/>
            <w:bottom w:val="none" w:sz="0" w:space="0" w:color="auto"/>
            <w:right w:val="none" w:sz="0" w:space="0" w:color="auto"/>
          </w:divBdr>
        </w:div>
        <w:div w:id="1087766885">
          <w:marLeft w:val="0"/>
          <w:marRight w:val="0"/>
          <w:marTop w:val="0"/>
          <w:marBottom w:val="0"/>
          <w:divBdr>
            <w:top w:val="none" w:sz="0" w:space="0" w:color="auto"/>
            <w:left w:val="none" w:sz="0" w:space="0" w:color="auto"/>
            <w:bottom w:val="none" w:sz="0" w:space="0" w:color="auto"/>
            <w:right w:val="none" w:sz="0" w:space="0" w:color="auto"/>
          </w:divBdr>
        </w:div>
        <w:div w:id="672804470">
          <w:marLeft w:val="0"/>
          <w:marRight w:val="0"/>
          <w:marTop w:val="0"/>
          <w:marBottom w:val="0"/>
          <w:divBdr>
            <w:top w:val="none" w:sz="0" w:space="0" w:color="auto"/>
            <w:left w:val="none" w:sz="0" w:space="0" w:color="auto"/>
            <w:bottom w:val="none" w:sz="0" w:space="0" w:color="auto"/>
            <w:right w:val="none" w:sz="0" w:space="0" w:color="auto"/>
          </w:divBdr>
        </w:div>
        <w:div w:id="2142842846">
          <w:marLeft w:val="0"/>
          <w:marRight w:val="0"/>
          <w:marTop w:val="0"/>
          <w:marBottom w:val="0"/>
          <w:divBdr>
            <w:top w:val="none" w:sz="0" w:space="0" w:color="auto"/>
            <w:left w:val="none" w:sz="0" w:space="0" w:color="auto"/>
            <w:bottom w:val="none" w:sz="0" w:space="0" w:color="auto"/>
            <w:right w:val="none" w:sz="0" w:space="0" w:color="auto"/>
          </w:divBdr>
        </w:div>
        <w:div w:id="2126776690">
          <w:marLeft w:val="0"/>
          <w:marRight w:val="0"/>
          <w:marTop w:val="0"/>
          <w:marBottom w:val="0"/>
          <w:divBdr>
            <w:top w:val="none" w:sz="0" w:space="0" w:color="auto"/>
            <w:left w:val="none" w:sz="0" w:space="0" w:color="auto"/>
            <w:bottom w:val="none" w:sz="0" w:space="0" w:color="auto"/>
            <w:right w:val="none" w:sz="0" w:space="0" w:color="auto"/>
          </w:divBdr>
        </w:div>
        <w:div w:id="1395543878">
          <w:marLeft w:val="0"/>
          <w:marRight w:val="0"/>
          <w:marTop w:val="0"/>
          <w:marBottom w:val="0"/>
          <w:divBdr>
            <w:top w:val="none" w:sz="0" w:space="0" w:color="auto"/>
            <w:left w:val="none" w:sz="0" w:space="0" w:color="auto"/>
            <w:bottom w:val="none" w:sz="0" w:space="0" w:color="auto"/>
            <w:right w:val="none" w:sz="0" w:space="0" w:color="auto"/>
          </w:divBdr>
        </w:div>
        <w:div w:id="1170487600">
          <w:marLeft w:val="0"/>
          <w:marRight w:val="0"/>
          <w:marTop w:val="0"/>
          <w:marBottom w:val="0"/>
          <w:divBdr>
            <w:top w:val="none" w:sz="0" w:space="0" w:color="auto"/>
            <w:left w:val="none" w:sz="0" w:space="0" w:color="auto"/>
            <w:bottom w:val="none" w:sz="0" w:space="0" w:color="auto"/>
            <w:right w:val="none" w:sz="0" w:space="0" w:color="auto"/>
          </w:divBdr>
        </w:div>
        <w:div w:id="300036240">
          <w:marLeft w:val="0"/>
          <w:marRight w:val="0"/>
          <w:marTop w:val="0"/>
          <w:marBottom w:val="0"/>
          <w:divBdr>
            <w:top w:val="none" w:sz="0" w:space="0" w:color="auto"/>
            <w:left w:val="none" w:sz="0" w:space="0" w:color="auto"/>
            <w:bottom w:val="none" w:sz="0" w:space="0" w:color="auto"/>
            <w:right w:val="none" w:sz="0" w:space="0" w:color="auto"/>
          </w:divBdr>
        </w:div>
        <w:div w:id="643001954">
          <w:marLeft w:val="0"/>
          <w:marRight w:val="0"/>
          <w:marTop w:val="0"/>
          <w:marBottom w:val="0"/>
          <w:divBdr>
            <w:top w:val="none" w:sz="0" w:space="0" w:color="auto"/>
            <w:left w:val="none" w:sz="0" w:space="0" w:color="auto"/>
            <w:bottom w:val="none" w:sz="0" w:space="0" w:color="auto"/>
            <w:right w:val="none" w:sz="0" w:space="0" w:color="auto"/>
          </w:divBdr>
        </w:div>
        <w:div w:id="169679706">
          <w:marLeft w:val="0"/>
          <w:marRight w:val="0"/>
          <w:marTop w:val="0"/>
          <w:marBottom w:val="0"/>
          <w:divBdr>
            <w:top w:val="none" w:sz="0" w:space="0" w:color="auto"/>
            <w:left w:val="none" w:sz="0" w:space="0" w:color="auto"/>
            <w:bottom w:val="none" w:sz="0" w:space="0" w:color="auto"/>
            <w:right w:val="none" w:sz="0" w:space="0" w:color="auto"/>
          </w:divBdr>
        </w:div>
        <w:div w:id="985621895">
          <w:marLeft w:val="0"/>
          <w:marRight w:val="0"/>
          <w:marTop w:val="0"/>
          <w:marBottom w:val="0"/>
          <w:divBdr>
            <w:top w:val="none" w:sz="0" w:space="0" w:color="auto"/>
            <w:left w:val="none" w:sz="0" w:space="0" w:color="auto"/>
            <w:bottom w:val="none" w:sz="0" w:space="0" w:color="auto"/>
            <w:right w:val="none" w:sz="0" w:space="0" w:color="auto"/>
          </w:divBdr>
        </w:div>
        <w:div w:id="378632803">
          <w:marLeft w:val="0"/>
          <w:marRight w:val="0"/>
          <w:marTop w:val="0"/>
          <w:marBottom w:val="0"/>
          <w:divBdr>
            <w:top w:val="none" w:sz="0" w:space="0" w:color="auto"/>
            <w:left w:val="none" w:sz="0" w:space="0" w:color="auto"/>
            <w:bottom w:val="none" w:sz="0" w:space="0" w:color="auto"/>
            <w:right w:val="none" w:sz="0" w:space="0" w:color="auto"/>
          </w:divBdr>
        </w:div>
        <w:div w:id="1382972810">
          <w:marLeft w:val="0"/>
          <w:marRight w:val="0"/>
          <w:marTop w:val="0"/>
          <w:marBottom w:val="0"/>
          <w:divBdr>
            <w:top w:val="none" w:sz="0" w:space="0" w:color="auto"/>
            <w:left w:val="none" w:sz="0" w:space="0" w:color="auto"/>
            <w:bottom w:val="none" w:sz="0" w:space="0" w:color="auto"/>
            <w:right w:val="none" w:sz="0" w:space="0" w:color="auto"/>
          </w:divBdr>
        </w:div>
        <w:div w:id="956136975">
          <w:marLeft w:val="0"/>
          <w:marRight w:val="0"/>
          <w:marTop w:val="0"/>
          <w:marBottom w:val="0"/>
          <w:divBdr>
            <w:top w:val="none" w:sz="0" w:space="0" w:color="auto"/>
            <w:left w:val="none" w:sz="0" w:space="0" w:color="auto"/>
            <w:bottom w:val="none" w:sz="0" w:space="0" w:color="auto"/>
            <w:right w:val="none" w:sz="0" w:space="0" w:color="auto"/>
          </w:divBdr>
        </w:div>
        <w:div w:id="909122443">
          <w:marLeft w:val="0"/>
          <w:marRight w:val="0"/>
          <w:marTop w:val="0"/>
          <w:marBottom w:val="0"/>
          <w:divBdr>
            <w:top w:val="none" w:sz="0" w:space="0" w:color="auto"/>
            <w:left w:val="none" w:sz="0" w:space="0" w:color="auto"/>
            <w:bottom w:val="none" w:sz="0" w:space="0" w:color="auto"/>
            <w:right w:val="none" w:sz="0" w:space="0" w:color="auto"/>
          </w:divBdr>
        </w:div>
        <w:div w:id="602349669">
          <w:marLeft w:val="0"/>
          <w:marRight w:val="0"/>
          <w:marTop w:val="0"/>
          <w:marBottom w:val="0"/>
          <w:divBdr>
            <w:top w:val="none" w:sz="0" w:space="0" w:color="auto"/>
            <w:left w:val="none" w:sz="0" w:space="0" w:color="auto"/>
            <w:bottom w:val="none" w:sz="0" w:space="0" w:color="auto"/>
            <w:right w:val="none" w:sz="0" w:space="0" w:color="auto"/>
          </w:divBdr>
        </w:div>
        <w:div w:id="1298030916">
          <w:marLeft w:val="0"/>
          <w:marRight w:val="0"/>
          <w:marTop w:val="0"/>
          <w:marBottom w:val="0"/>
          <w:divBdr>
            <w:top w:val="none" w:sz="0" w:space="0" w:color="auto"/>
            <w:left w:val="none" w:sz="0" w:space="0" w:color="auto"/>
            <w:bottom w:val="none" w:sz="0" w:space="0" w:color="auto"/>
            <w:right w:val="none" w:sz="0" w:space="0" w:color="auto"/>
          </w:divBdr>
        </w:div>
        <w:div w:id="393162561">
          <w:marLeft w:val="0"/>
          <w:marRight w:val="0"/>
          <w:marTop w:val="0"/>
          <w:marBottom w:val="0"/>
          <w:divBdr>
            <w:top w:val="none" w:sz="0" w:space="0" w:color="auto"/>
            <w:left w:val="none" w:sz="0" w:space="0" w:color="auto"/>
            <w:bottom w:val="none" w:sz="0" w:space="0" w:color="auto"/>
            <w:right w:val="none" w:sz="0" w:space="0" w:color="auto"/>
          </w:divBdr>
        </w:div>
        <w:div w:id="176697934">
          <w:marLeft w:val="0"/>
          <w:marRight w:val="0"/>
          <w:marTop w:val="0"/>
          <w:marBottom w:val="0"/>
          <w:divBdr>
            <w:top w:val="none" w:sz="0" w:space="0" w:color="auto"/>
            <w:left w:val="none" w:sz="0" w:space="0" w:color="auto"/>
            <w:bottom w:val="none" w:sz="0" w:space="0" w:color="auto"/>
            <w:right w:val="none" w:sz="0" w:space="0" w:color="auto"/>
          </w:divBdr>
        </w:div>
        <w:div w:id="817838427">
          <w:marLeft w:val="0"/>
          <w:marRight w:val="0"/>
          <w:marTop w:val="0"/>
          <w:marBottom w:val="0"/>
          <w:divBdr>
            <w:top w:val="none" w:sz="0" w:space="0" w:color="auto"/>
            <w:left w:val="none" w:sz="0" w:space="0" w:color="auto"/>
            <w:bottom w:val="none" w:sz="0" w:space="0" w:color="auto"/>
            <w:right w:val="none" w:sz="0" w:space="0" w:color="auto"/>
          </w:divBdr>
        </w:div>
        <w:div w:id="861285317">
          <w:marLeft w:val="0"/>
          <w:marRight w:val="0"/>
          <w:marTop w:val="0"/>
          <w:marBottom w:val="0"/>
          <w:divBdr>
            <w:top w:val="none" w:sz="0" w:space="0" w:color="auto"/>
            <w:left w:val="none" w:sz="0" w:space="0" w:color="auto"/>
            <w:bottom w:val="none" w:sz="0" w:space="0" w:color="auto"/>
            <w:right w:val="none" w:sz="0" w:space="0" w:color="auto"/>
          </w:divBdr>
        </w:div>
        <w:div w:id="1905946943">
          <w:marLeft w:val="0"/>
          <w:marRight w:val="0"/>
          <w:marTop w:val="0"/>
          <w:marBottom w:val="0"/>
          <w:divBdr>
            <w:top w:val="none" w:sz="0" w:space="0" w:color="auto"/>
            <w:left w:val="none" w:sz="0" w:space="0" w:color="auto"/>
            <w:bottom w:val="none" w:sz="0" w:space="0" w:color="auto"/>
            <w:right w:val="none" w:sz="0" w:space="0" w:color="auto"/>
          </w:divBdr>
        </w:div>
        <w:div w:id="946280780">
          <w:marLeft w:val="0"/>
          <w:marRight w:val="0"/>
          <w:marTop w:val="0"/>
          <w:marBottom w:val="0"/>
          <w:divBdr>
            <w:top w:val="none" w:sz="0" w:space="0" w:color="auto"/>
            <w:left w:val="none" w:sz="0" w:space="0" w:color="auto"/>
            <w:bottom w:val="none" w:sz="0" w:space="0" w:color="auto"/>
            <w:right w:val="none" w:sz="0" w:space="0" w:color="auto"/>
          </w:divBdr>
        </w:div>
        <w:div w:id="172696479">
          <w:marLeft w:val="0"/>
          <w:marRight w:val="0"/>
          <w:marTop w:val="0"/>
          <w:marBottom w:val="0"/>
          <w:divBdr>
            <w:top w:val="none" w:sz="0" w:space="0" w:color="auto"/>
            <w:left w:val="none" w:sz="0" w:space="0" w:color="auto"/>
            <w:bottom w:val="none" w:sz="0" w:space="0" w:color="auto"/>
            <w:right w:val="none" w:sz="0" w:space="0" w:color="auto"/>
          </w:divBdr>
        </w:div>
        <w:div w:id="1829856836">
          <w:marLeft w:val="0"/>
          <w:marRight w:val="0"/>
          <w:marTop w:val="0"/>
          <w:marBottom w:val="0"/>
          <w:divBdr>
            <w:top w:val="none" w:sz="0" w:space="0" w:color="auto"/>
            <w:left w:val="none" w:sz="0" w:space="0" w:color="auto"/>
            <w:bottom w:val="none" w:sz="0" w:space="0" w:color="auto"/>
            <w:right w:val="none" w:sz="0" w:space="0" w:color="auto"/>
          </w:divBdr>
        </w:div>
        <w:div w:id="142090697">
          <w:marLeft w:val="0"/>
          <w:marRight w:val="0"/>
          <w:marTop w:val="0"/>
          <w:marBottom w:val="0"/>
          <w:divBdr>
            <w:top w:val="none" w:sz="0" w:space="0" w:color="auto"/>
            <w:left w:val="none" w:sz="0" w:space="0" w:color="auto"/>
            <w:bottom w:val="none" w:sz="0" w:space="0" w:color="auto"/>
            <w:right w:val="none" w:sz="0" w:space="0" w:color="auto"/>
          </w:divBdr>
        </w:div>
        <w:div w:id="1802379791">
          <w:marLeft w:val="0"/>
          <w:marRight w:val="0"/>
          <w:marTop w:val="0"/>
          <w:marBottom w:val="0"/>
          <w:divBdr>
            <w:top w:val="none" w:sz="0" w:space="0" w:color="auto"/>
            <w:left w:val="none" w:sz="0" w:space="0" w:color="auto"/>
            <w:bottom w:val="none" w:sz="0" w:space="0" w:color="auto"/>
            <w:right w:val="none" w:sz="0" w:space="0" w:color="auto"/>
          </w:divBdr>
        </w:div>
        <w:div w:id="689451203">
          <w:marLeft w:val="0"/>
          <w:marRight w:val="0"/>
          <w:marTop w:val="0"/>
          <w:marBottom w:val="0"/>
          <w:divBdr>
            <w:top w:val="none" w:sz="0" w:space="0" w:color="auto"/>
            <w:left w:val="none" w:sz="0" w:space="0" w:color="auto"/>
            <w:bottom w:val="none" w:sz="0" w:space="0" w:color="auto"/>
            <w:right w:val="none" w:sz="0" w:space="0" w:color="auto"/>
          </w:divBdr>
        </w:div>
        <w:div w:id="443695403">
          <w:marLeft w:val="0"/>
          <w:marRight w:val="0"/>
          <w:marTop w:val="0"/>
          <w:marBottom w:val="0"/>
          <w:divBdr>
            <w:top w:val="none" w:sz="0" w:space="0" w:color="auto"/>
            <w:left w:val="none" w:sz="0" w:space="0" w:color="auto"/>
            <w:bottom w:val="none" w:sz="0" w:space="0" w:color="auto"/>
            <w:right w:val="none" w:sz="0" w:space="0" w:color="auto"/>
          </w:divBdr>
        </w:div>
        <w:div w:id="1395859528">
          <w:marLeft w:val="0"/>
          <w:marRight w:val="0"/>
          <w:marTop w:val="0"/>
          <w:marBottom w:val="0"/>
          <w:divBdr>
            <w:top w:val="none" w:sz="0" w:space="0" w:color="auto"/>
            <w:left w:val="none" w:sz="0" w:space="0" w:color="auto"/>
            <w:bottom w:val="none" w:sz="0" w:space="0" w:color="auto"/>
            <w:right w:val="none" w:sz="0" w:space="0" w:color="auto"/>
          </w:divBdr>
        </w:div>
        <w:div w:id="2125224724">
          <w:marLeft w:val="0"/>
          <w:marRight w:val="0"/>
          <w:marTop w:val="0"/>
          <w:marBottom w:val="0"/>
          <w:divBdr>
            <w:top w:val="none" w:sz="0" w:space="0" w:color="auto"/>
            <w:left w:val="none" w:sz="0" w:space="0" w:color="auto"/>
            <w:bottom w:val="none" w:sz="0" w:space="0" w:color="auto"/>
            <w:right w:val="none" w:sz="0" w:space="0" w:color="auto"/>
          </w:divBdr>
        </w:div>
        <w:div w:id="820853446">
          <w:marLeft w:val="0"/>
          <w:marRight w:val="0"/>
          <w:marTop w:val="0"/>
          <w:marBottom w:val="0"/>
          <w:divBdr>
            <w:top w:val="none" w:sz="0" w:space="0" w:color="auto"/>
            <w:left w:val="none" w:sz="0" w:space="0" w:color="auto"/>
            <w:bottom w:val="none" w:sz="0" w:space="0" w:color="auto"/>
            <w:right w:val="none" w:sz="0" w:space="0" w:color="auto"/>
          </w:divBdr>
        </w:div>
        <w:div w:id="1422949013">
          <w:marLeft w:val="0"/>
          <w:marRight w:val="0"/>
          <w:marTop w:val="0"/>
          <w:marBottom w:val="0"/>
          <w:divBdr>
            <w:top w:val="none" w:sz="0" w:space="0" w:color="auto"/>
            <w:left w:val="none" w:sz="0" w:space="0" w:color="auto"/>
            <w:bottom w:val="none" w:sz="0" w:space="0" w:color="auto"/>
            <w:right w:val="none" w:sz="0" w:space="0" w:color="auto"/>
          </w:divBdr>
        </w:div>
        <w:div w:id="1898541190">
          <w:marLeft w:val="0"/>
          <w:marRight w:val="0"/>
          <w:marTop w:val="0"/>
          <w:marBottom w:val="0"/>
          <w:divBdr>
            <w:top w:val="none" w:sz="0" w:space="0" w:color="auto"/>
            <w:left w:val="none" w:sz="0" w:space="0" w:color="auto"/>
            <w:bottom w:val="none" w:sz="0" w:space="0" w:color="auto"/>
            <w:right w:val="none" w:sz="0" w:space="0" w:color="auto"/>
          </w:divBdr>
        </w:div>
        <w:div w:id="1659652746">
          <w:marLeft w:val="0"/>
          <w:marRight w:val="0"/>
          <w:marTop w:val="0"/>
          <w:marBottom w:val="0"/>
          <w:divBdr>
            <w:top w:val="none" w:sz="0" w:space="0" w:color="auto"/>
            <w:left w:val="none" w:sz="0" w:space="0" w:color="auto"/>
            <w:bottom w:val="none" w:sz="0" w:space="0" w:color="auto"/>
            <w:right w:val="none" w:sz="0" w:space="0" w:color="auto"/>
          </w:divBdr>
        </w:div>
        <w:div w:id="891380360">
          <w:marLeft w:val="0"/>
          <w:marRight w:val="0"/>
          <w:marTop w:val="0"/>
          <w:marBottom w:val="0"/>
          <w:divBdr>
            <w:top w:val="none" w:sz="0" w:space="0" w:color="auto"/>
            <w:left w:val="none" w:sz="0" w:space="0" w:color="auto"/>
            <w:bottom w:val="none" w:sz="0" w:space="0" w:color="auto"/>
            <w:right w:val="none" w:sz="0" w:space="0" w:color="auto"/>
          </w:divBdr>
        </w:div>
        <w:div w:id="257568793">
          <w:marLeft w:val="0"/>
          <w:marRight w:val="0"/>
          <w:marTop w:val="0"/>
          <w:marBottom w:val="0"/>
          <w:divBdr>
            <w:top w:val="none" w:sz="0" w:space="0" w:color="auto"/>
            <w:left w:val="none" w:sz="0" w:space="0" w:color="auto"/>
            <w:bottom w:val="none" w:sz="0" w:space="0" w:color="auto"/>
            <w:right w:val="none" w:sz="0" w:space="0" w:color="auto"/>
          </w:divBdr>
        </w:div>
        <w:div w:id="862592256">
          <w:marLeft w:val="0"/>
          <w:marRight w:val="0"/>
          <w:marTop w:val="0"/>
          <w:marBottom w:val="0"/>
          <w:divBdr>
            <w:top w:val="none" w:sz="0" w:space="0" w:color="auto"/>
            <w:left w:val="none" w:sz="0" w:space="0" w:color="auto"/>
            <w:bottom w:val="none" w:sz="0" w:space="0" w:color="auto"/>
            <w:right w:val="none" w:sz="0" w:space="0" w:color="auto"/>
          </w:divBdr>
        </w:div>
        <w:div w:id="1909221290">
          <w:marLeft w:val="0"/>
          <w:marRight w:val="0"/>
          <w:marTop w:val="0"/>
          <w:marBottom w:val="0"/>
          <w:divBdr>
            <w:top w:val="none" w:sz="0" w:space="0" w:color="auto"/>
            <w:left w:val="none" w:sz="0" w:space="0" w:color="auto"/>
            <w:bottom w:val="none" w:sz="0" w:space="0" w:color="auto"/>
            <w:right w:val="none" w:sz="0" w:space="0" w:color="auto"/>
          </w:divBdr>
        </w:div>
        <w:div w:id="150144305">
          <w:marLeft w:val="0"/>
          <w:marRight w:val="0"/>
          <w:marTop w:val="0"/>
          <w:marBottom w:val="0"/>
          <w:divBdr>
            <w:top w:val="none" w:sz="0" w:space="0" w:color="auto"/>
            <w:left w:val="none" w:sz="0" w:space="0" w:color="auto"/>
            <w:bottom w:val="none" w:sz="0" w:space="0" w:color="auto"/>
            <w:right w:val="none" w:sz="0" w:space="0" w:color="auto"/>
          </w:divBdr>
        </w:div>
        <w:div w:id="638732922">
          <w:marLeft w:val="0"/>
          <w:marRight w:val="0"/>
          <w:marTop w:val="0"/>
          <w:marBottom w:val="0"/>
          <w:divBdr>
            <w:top w:val="none" w:sz="0" w:space="0" w:color="auto"/>
            <w:left w:val="none" w:sz="0" w:space="0" w:color="auto"/>
            <w:bottom w:val="none" w:sz="0" w:space="0" w:color="auto"/>
            <w:right w:val="none" w:sz="0" w:space="0" w:color="auto"/>
          </w:divBdr>
        </w:div>
        <w:div w:id="1158493941">
          <w:marLeft w:val="0"/>
          <w:marRight w:val="0"/>
          <w:marTop w:val="0"/>
          <w:marBottom w:val="0"/>
          <w:divBdr>
            <w:top w:val="none" w:sz="0" w:space="0" w:color="auto"/>
            <w:left w:val="none" w:sz="0" w:space="0" w:color="auto"/>
            <w:bottom w:val="none" w:sz="0" w:space="0" w:color="auto"/>
            <w:right w:val="none" w:sz="0" w:space="0" w:color="auto"/>
          </w:divBdr>
        </w:div>
        <w:div w:id="2077121434">
          <w:marLeft w:val="0"/>
          <w:marRight w:val="0"/>
          <w:marTop w:val="0"/>
          <w:marBottom w:val="0"/>
          <w:divBdr>
            <w:top w:val="none" w:sz="0" w:space="0" w:color="auto"/>
            <w:left w:val="none" w:sz="0" w:space="0" w:color="auto"/>
            <w:bottom w:val="none" w:sz="0" w:space="0" w:color="auto"/>
            <w:right w:val="none" w:sz="0" w:space="0" w:color="auto"/>
          </w:divBdr>
        </w:div>
        <w:div w:id="1385829477">
          <w:marLeft w:val="0"/>
          <w:marRight w:val="0"/>
          <w:marTop w:val="0"/>
          <w:marBottom w:val="0"/>
          <w:divBdr>
            <w:top w:val="none" w:sz="0" w:space="0" w:color="auto"/>
            <w:left w:val="none" w:sz="0" w:space="0" w:color="auto"/>
            <w:bottom w:val="none" w:sz="0" w:space="0" w:color="auto"/>
            <w:right w:val="none" w:sz="0" w:space="0" w:color="auto"/>
          </w:divBdr>
        </w:div>
        <w:div w:id="1697190704">
          <w:marLeft w:val="0"/>
          <w:marRight w:val="0"/>
          <w:marTop w:val="0"/>
          <w:marBottom w:val="0"/>
          <w:divBdr>
            <w:top w:val="none" w:sz="0" w:space="0" w:color="auto"/>
            <w:left w:val="none" w:sz="0" w:space="0" w:color="auto"/>
            <w:bottom w:val="none" w:sz="0" w:space="0" w:color="auto"/>
            <w:right w:val="none" w:sz="0" w:space="0" w:color="auto"/>
          </w:divBdr>
        </w:div>
        <w:div w:id="497036643">
          <w:marLeft w:val="0"/>
          <w:marRight w:val="0"/>
          <w:marTop w:val="0"/>
          <w:marBottom w:val="0"/>
          <w:divBdr>
            <w:top w:val="none" w:sz="0" w:space="0" w:color="auto"/>
            <w:left w:val="none" w:sz="0" w:space="0" w:color="auto"/>
            <w:bottom w:val="none" w:sz="0" w:space="0" w:color="auto"/>
            <w:right w:val="none" w:sz="0" w:space="0" w:color="auto"/>
          </w:divBdr>
        </w:div>
        <w:div w:id="1450398777">
          <w:marLeft w:val="0"/>
          <w:marRight w:val="0"/>
          <w:marTop w:val="0"/>
          <w:marBottom w:val="0"/>
          <w:divBdr>
            <w:top w:val="none" w:sz="0" w:space="0" w:color="auto"/>
            <w:left w:val="none" w:sz="0" w:space="0" w:color="auto"/>
            <w:bottom w:val="none" w:sz="0" w:space="0" w:color="auto"/>
            <w:right w:val="none" w:sz="0" w:space="0" w:color="auto"/>
          </w:divBdr>
        </w:div>
        <w:div w:id="486702973">
          <w:marLeft w:val="0"/>
          <w:marRight w:val="0"/>
          <w:marTop w:val="0"/>
          <w:marBottom w:val="0"/>
          <w:divBdr>
            <w:top w:val="none" w:sz="0" w:space="0" w:color="auto"/>
            <w:left w:val="none" w:sz="0" w:space="0" w:color="auto"/>
            <w:bottom w:val="none" w:sz="0" w:space="0" w:color="auto"/>
            <w:right w:val="none" w:sz="0" w:space="0" w:color="auto"/>
          </w:divBdr>
        </w:div>
        <w:div w:id="2101872257">
          <w:marLeft w:val="0"/>
          <w:marRight w:val="0"/>
          <w:marTop w:val="0"/>
          <w:marBottom w:val="0"/>
          <w:divBdr>
            <w:top w:val="none" w:sz="0" w:space="0" w:color="auto"/>
            <w:left w:val="none" w:sz="0" w:space="0" w:color="auto"/>
            <w:bottom w:val="none" w:sz="0" w:space="0" w:color="auto"/>
            <w:right w:val="none" w:sz="0" w:space="0" w:color="auto"/>
          </w:divBdr>
        </w:div>
        <w:div w:id="352727897">
          <w:marLeft w:val="0"/>
          <w:marRight w:val="0"/>
          <w:marTop w:val="0"/>
          <w:marBottom w:val="0"/>
          <w:divBdr>
            <w:top w:val="none" w:sz="0" w:space="0" w:color="auto"/>
            <w:left w:val="none" w:sz="0" w:space="0" w:color="auto"/>
            <w:bottom w:val="none" w:sz="0" w:space="0" w:color="auto"/>
            <w:right w:val="none" w:sz="0" w:space="0" w:color="auto"/>
          </w:divBdr>
        </w:div>
        <w:div w:id="1845047744">
          <w:marLeft w:val="0"/>
          <w:marRight w:val="0"/>
          <w:marTop w:val="0"/>
          <w:marBottom w:val="0"/>
          <w:divBdr>
            <w:top w:val="none" w:sz="0" w:space="0" w:color="auto"/>
            <w:left w:val="none" w:sz="0" w:space="0" w:color="auto"/>
            <w:bottom w:val="none" w:sz="0" w:space="0" w:color="auto"/>
            <w:right w:val="none" w:sz="0" w:space="0" w:color="auto"/>
          </w:divBdr>
        </w:div>
        <w:div w:id="496577494">
          <w:marLeft w:val="0"/>
          <w:marRight w:val="0"/>
          <w:marTop w:val="0"/>
          <w:marBottom w:val="0"/>
          <w:divBdr>
            <w:top w:val="none" w:sz="0" w:space="0" w:color="auto"/>
            <w:left w:val="none" w:sz="0" w:space="0" w:color="auto"/>
            <w:bottom w:val="none" w:sz="0" w:space="0" w:color="auto"/>
            <w:right w:val="none" w:sz="0" w:space="0" w:color="auto"/>
          </w:divBdr>
        </w:div>
        <w:div w:id="1445149463">
          <w:marLeft w:val="0"/>
          <w:marRight w:val="0"/>
          <w:marTop w:val="0"/>
          <w:marBottom w:val="0"/>
          <w:divBdr>
            <w:top w:val="none" w:sz="0" w:space="0" w:color="auto"/>
            <w:left w:val="none" w:sz="0" w:space="0" w:color="auto"/>
            <w:bottom w:val="none" w:sz="0" w:space="0" w:color="auto"/>
            <w:right w:val="none" w:sz="0" w:space="0" w:color="auto"/>
          </w:divBdr>
        </w:div>
        <w:div w:id="2063357696">
          <w:marLeft w:val="0"/>
          <w:marRight w:val="0"/>
          <w:marTop w:val="0"/>
          <w:marBottom w:val="0"/>
          <w:divBdr>
            <w:top w:val="none" w:sz="0" w:space="0" w:color="auto"/>
            <w:left w:val="none" w:sz="0" w:space="0" w:color="auto"/>
            <w:bottom w:val="none" w:sz="0" w:space="0" w:color="auto"/>
            <w:right w:val="none" w:sz="0" w:space="0" w:color="auto"/>
          </w:divBdr>
        </w:div>
        <w:div w:id="1473252364">
          <w:marLeft w:val="0"/>
          <w:marRight w:val="0"/>
          <w:marTop w:val="0"/>
          <w:marBottom w:val="0"/>
          <w:divBdr>
            <w:top w:val="none" w:sz="0" w:space="0" w:color="auto"/>
            <w:left w:val="none" w:sz="0" w:space="0" w:color="auto"/>
            <w:bottom w:val="none" w:sz="0" w:space="0" w:color="auto"/>
            <w:right w:val="none" w:sz="0" w:space="0" w:color="auto"/>
          </w:divBdr>
        </w:div>
        <w:div w:id="70471926">
          <w:marLeft w:val="0"/>
          <w:marRight w:val="0"/>
          <w:marTop w:val="0"/>
          <w:marBottom w:val="0"/>
          <w:divBdr>
            <w:top w:val="none" w:sz="0" w:space="0" w:color="auto"/>
            <w:left w:val="none" w:sz="0" w:space="0" w:color="auto"/>
            <w:bottom w:val="none" w:sz="0" w:space="0" w:color="auto"/>
            <w:right w:val="none" w:sz="0" w:space="0" w:color="auto"/>
          </w:divBdr>
        </w:div>
        <w:div w:id="1720860321">
          <w:marLeft w:val="0"/>
          <w:marRight w:val="0"/>
          <w:marTop w:val="0"/>
          <w:marBottom w:val="0"/>
          <w:divBdr>
            <w:top w:val="none" w:sz="0" w:space="0" w:color="auto"/>
            <w:left w:val="none" w:sz="0" w:space="0" w:color="auto"/>
            <w:bottom w:val="none" w:sz="0" w:space="0" w:color="auto"/>
            <w:right w:val="none" w:sz="0" w:space="0" w:color="auto"/>
          </w:divBdr>
        </w:div>
        <w:div w:id="1314481432">
          <w:marLeft w:val="0"/>
          <w:marRight w:val="0"/>
          <w:marTop w:val="0"/>
          <w:marBottom w:val="0"/>
          <w:divBdr>
            <w:top w:val="none" w:sz="0" w:space="0" w:color="auto"/>
            <w:left w:val="none" w:sz="0" w:space="0" w:color="auto"/>
            <w:bottom w:val="none" w:sz="0" w:space="0" w:color="auto"/>
            <w:right w:val="none" w:sz="0" w:space="0" w:color="auto"/>
          </w:divBdr>
        </w:div>
        <w:div w:id="1819760240">
          <w:marLeft w:val="0"/>
          <w:marRight w:val="0"/>
          <w:marTop w:val="0"/>
          <w:marBottom w:val="0"/>
          <w:divBdr>
            <w:top w:val="none" w:sz="0" w:space="0" w:color="auto"/>
            <w:left w:val="none" w:sz="0" w:space="0" w:color="auto"/>
            <w:bottom w:val="none" w:sz="0" w:space="0" w:color="auto"/>
            <w:right w:val="none" w:sz="0" w:space="0" w:color="auto"/>
          </w:divBdr>
        </w:div>
        <w:div w:id="1621718405">
          <w:marLeft w:val="0"/>
          <w:marRight w:val="0"/>
          <w:marTop w:val="0"/>
          <w:marBottom w:val="0"/>
          <w:divBdr>
            <w:top w:val="none" w:sz="0" w:space="0" w:color="auto"/>
            <w:left w:val="none" w:sz="0" w:space="0" w:color="auto"/>
            <w:bottom w:val="none" w:sz="0" w:space="0" w:color="auto"/>
            <w:right w:val="none" w:sz="0" w:space="0" w:color="auto"/>
          </w:divBdr>
        </w:div>
        <w:div w:id="1873223668">
          <w:marLeft w:val="0"/>
          <w:marRight w:val="0"/>
          <w:marTop w:val="0"/>
          <w:marBottom w:val="0"/>
          <w:divBdr>
            <w:top w:val="none" w:sz="0" w:space="0" w:color="auto"/>
            <w:left w:val="none" w:sz="0" w:space="0" w:color="auto"/>
            <w:bottom w:val="none" w:sz="0" w:space="0" w:color="auto"/>
            <w:right w:val="none" w:sz="0" w:space="0" w:color="auto"/>
          </w:divBdr>
        </w:div>
        <w:div w:id="1481386163">
          <w:marLeft w:val="0"/>
          <w:marRight w:val="0"/>
          <w:marTop w:val="0"/>
          <w:marBottom w:val="0"/>
          <w:divBdr>
            <w:top w:val="none" w:sz="0" w:space="0" w:color="auto"/>
            <w:left w:val="none" w:sz="0" w:space="0" w:color="auto"/>
            <w:bottom w:val="none" w:sz="0" w:space="0" w:color="auto"/>
            <w:right w:val="none" w:sz="0" w:space="0" w:color="auto"/>
          </w:divBdr>
        </w:div>
        <w:div w:id="1976257267">
          <w:marLeft w:val="0"/>
          <w:marRight w:val="0"/>
          <w:marTop w:val="0"/>
          <w:marBottom w:val="0"/>
          <w:divBdr>
            <w:top w:val="none" w:sz="0" w:space="0" w:color="auto"/>
            <w:left w:val="none" w:sz="0" w:space="0" w:color="auto"/>
            <w:bottom w:val="none" w:sz="0" w:space="0" w:color="auto"/>
            <w:right w:val="none" w:sz="0" w:space="0" w:color="auto"/>
          </w:divBdr>
        </w:div>
        <w:div w:id="1630087732">
          <w:marLeft w:val="0"/>
          <w:marRight w:val="0"/>
          <w:marTop w:val="0"/>
          <w:marBottom w:val="0"/>
          <w:divBdr>
            <w:top w:val="none" w:sz="0" w:space="0" w:color="auto"/>
            <w:left w:val="none" w:sz="0" w:space="0" w:color="auto"/>
            <w:bottom w:val="none" w:sz="0" w:space="0" w:color="auto"/>
            <w:right w:val="none" w:sz="0" w:space="0" w:color="auto"/>
          </w:divBdr>
        </w:div>
        <w:div w:id="620694428">
          <w:marLeft w:val="0"/>
          <w:marRight w:val="0"/>
          <w:marTop w:val="0"/>
          <w:marBottom w:val="0"/>
          <w:divBdr>
            <w:top w:val="none" w:sz="0" w:space="0" w:color="auto"/>
            <w:left w:val="none" w:sz="0" w:space="0" w:color="auto"/>
            <w:bottom w:val="none" w:sz="0" w:space="0" w:color="auto"/>
            <w:right w:val="none" w:sz="0" w:space="0" w:color="auto"/>
          </w:divBdr>
        </w:div>
        <w:div w:id="2095668123">
          <w:marLeft w:val="0"/>
          <w:marRight w:val="0"/>
          <w:marTop w:val="0"/>
          <w:marBottom w:val="0"/>
          <w:divBdr>
            <w:top w:val="none" w:sz="0" w:space="0" w:color="auto"/>
            <w:left w:val="none" w:sz="0" w:space="0" w:color="auto"/>
            <w:bottom w:val="none" w:sz="0" w:space="0" w:color="auto"/>
            <w:right w:val="none" w:sz="0" w:space="0" w:color="auto"/>
          </w:divBdr>
        </w:div>
        <w:div w:id="1012492822">
          <w:marLeft w:val="0"/>
          <w:marRight w:val="0"/>
          <w:marTop w:val="0"/>
          <w:marBottom w:val="0"/>
          <w:divBdr>
            <w:top w:val="none" w:sz="0" w:space="0" w:color="auto"/>
            <w:left w:val="none" w:sz="0" w:space="0" w:color="auto"/>
            <w:bottom w:val="none" w:sz="0" w:space="0" w:color="auto"/>
            <w:right w:val="none" w:sz="0" w:space="0" w:color="auto"/>
          </w:divBdr>
        </w:div>
        <w:div w:id="1701470912">
          <w:marLeft w:val="0"/>
          <w:marRight w:val="0"/>
          <w:marTop w:val="0"/>
          <w:marBottom w:val="0"/>
          <w:divBdr>
            <w:top w:val="none" w:sz="0" w:space="0" w:color="auto"/>
            <w:left w:val="none" w:sz="0" w:space="0" w:color="auto"/>
            <w:bottom w:val="none" w:sz="0" w:space="0" w:color="auto"/>
            <w:right w:val="none" w:sz="0" w:space="0" w:color="auto"/>
          </w:divBdr>
        </w:div>
        <w:div w:id="372466492">
          <w:marLeft w:val="0"/>
          <w:marRight w:val="0"/>
          <w:marTop w:val="0"/>
          <w:marBottom w:val="0"/>
          <w:divBdr>
            <w:top w:val="none" w:sz="0" w:space="0" w:color="auto"/>
            <w:left w:val="none" w:sz="0" w:space="0" w:color="auto"/>
            <w:bottom w:val="none" w:sz="0" w:space="0" w:color="auto"/>
            <w:right w:val="none" w:sz="0" w:space="0" w:color="auto"/>
          </w:divBdr>
        </w:div>
        <w:div w:id="611784227">
          <w:marLeft w:val="0"/>
          <w:marRight w:val="0"/>
          <w:marTop w:val="0"/>
          <w:marBottom w:val="0"/>
          <w:divBdr>
            <w:top w:val="none" w:sz="0" w:space="0" w:color="auto"/>
            <w:left w:val="none" w:sz="0" w:space="0" w:color="auto"/>
            <w:bottom w:val="none" w:sz="0" w:space="0" w:color="auto"/>
            <w:right w:val="none" w:sz="0" w:space="0" w:color="auto"/>
          </w:divBdr>
        </w:div>
        <w:div w:id="1154684563">
          <w:marLeft w:val="0"/>
          <w:marRight w:val="0"/>
          <w:marTop w:val="0"/>
          <w:marBottom w:val="0"/>
          <w:divBdr>
            <w:top w:val="none" w:sz="0" w:space="0" w:color="auto"/>
            <w:left w:val="none" w:sz="0" w:space="0" w:color="auto"/>
            <w:bottom w:val="none" w:sz="0" w:space="0" w:color="auto"/>
            <w:right w:val="none" w:sz="0" w:space="0" w:color="auto"/>
          </w:divBdr>
        </w:div>
        <w:div w:id="142505758">
          <w:marLeft w:val="0"/>
          <w:marRight w:val="0"/>
          <w:marTop w:val="0"/>
          <w:marBottom w:val="0"/>
          <w:divBdr>
            <w:top w:val="none" w:sz="0" w:space="0" w:color="auto"/>
            <w:left w:val="none" w:sz="0" w:space="0" w:color="auto"/>
            <w:bottom w:val="none" w:sz="0" w:space="0" w:color="auto"/>
            <w:right w:val="none" w:sz="0" w:space="0" w:color="auto"/>
          </w:divBdr>
        </w:div>
        <w:div w:id="1718310739">
          <w:marLeft w:val="0"/>
          <w:marRight w:val="0"/>
          <w:marTop w:val="0"/>
          <w:marBottom w:val="0"/>
          <w:divBdr>
            <w:top w:val="none" w:sz="0" w:space="0" w:color="auto"/>
            <w:left w:val="none" w:sz="0" w:space="0" w:color="auto"/>
            <w:bottom w:val="none" w:sz="0" w:space="0" w:color="auto"/>
            <w:right w:val="none" w:sz="0" w:space="0" w:color="auto"/>
          </w:divBdr>
        </w:div>
        <w:div w:id="933170666">
          <w:marLeft w:val="0"/>
          <w:marRight w:val="0"/>
          <w:marTop w:val="0"/>
          <w:marBottom w:val="0"/>
          <w:divBdr>
            <w:top w:val="none" w:sz="0" w:space="0" w:color="auto"/>
            <w:left w:val="none" w:sz="0" w:space="0" w:color="auto"/>
            <w:bottom w:val="none" w:sz="0" w:space="0" w:color="auto"/>
            <w:right w:val="none" w:sz="0" w:space="0" w:color="auto"/>
          </w:divBdr>
        </w:div>
        <w:div w:id="676268714">
          <w:marLeft w:val="0"/>
          <w:marRight w:val="0"/>
          <w:marTop w:val="0"/>
          <w:marBottom w:val="0"/>
          <w:divBdr>
            <w:top w:val="none" w:sz="0" w:space="0" w:color="auto"/>
            <w:left w:val="none" w:sz="0" w:space="0" w:color="auto"/>
            <w:bottom w:val="none" w:sz="0" w:space="0" w:color="auto"/>
            <w:right w:val="none" w:sz="0" w:space="0" w:color="auto"/>
          </w:divBdr>
        </w:div>
        <w:div w:id="117919598">
          <w:marLeft w:val="0"/>
          <w:marRight w:val="0"/>
          <w:marTop w:val="0"/>
          <w:marBottom w:val="0"/>
          <w:divBdr>
            <w:top w:val="none" w:sz="0" w:space="0" w:color="auto"/>
            <w:left w:val="none" w:sz="0" w:space="0" w:color="auto"/>
            <w:bottom w:val="none" w:sz="0" w:space="0" w:color="auto"/>
            <w:right w:val="none" w:sz="0" w:space="0" w:color="auto"/>
          </w:divBdr>
        </w:div>
        <w:div w:id="1109618036">
          <w:marLeft w:val="0"/>
          <w:marRight w:val="0"/>
          <w:marTop w:val="0"/>
          <w:marBottom w:val="0"/>
          <w:divBdr>
            <w:top w:val="none" w:sz="0" w:space="0" w:color="auto"/>
            <w:left w:val="none" w:sz="0" w:space="0" w:color="auto"/>
            <w:bottom w:val="none" w:sz="0" w:space="0" w:color="auto"/>
            <w:right w:val="none" w:sz="0" w:space="0" w:color="auto"/>
          </w:divBdr>
        </w:div>
        <w:div w:id="897130627">
          <w:marLeft w:val="0"/>
          <w:marRight w:val="0"/>
          <w:marTop w:val="0"/>
          <w:marBottom w:val="0"/>
          <w:divBdr>
            <w:top w:val="none" w:sz="0" w:space="0" w:color="auto"/>
            <w:left w:val="none" w:sz="0" w:space="0" w:color="auto"/>
            <w:bottom w:val="none" w:sz="0" w:space="0" w:color="auto"/>
            <w:right w:val="none" w:sz="0" w:space="0" w:color="auto"/>
          </w:divBdr>
        </w:div>
        <w:div w:id="814419063">
          <w:marLeft w:val="0"/>
          <w:marRight w:val="0"/>
          <w:marTop w:val="0"/>
          <w:marBottom w:val="0"/>
          <w:divBdr>
            <w:top w:val="none" w:sz="0" w:space="0" w:color="auto"/>
            <w:left w:val="none" w:sz="0" w:space="0" w:color="auto"/>
            <w:bottom w:val="none" w:sz="0" w:space="0" w:color="auto"/>
            <w:right w:val="none" w:sz="0" w:space="0" w:color="auto"/>
          </w:divBdr>
        </w:div>
        <w:div w:id="1816603483">
          <w:marLeft w:val="0"/>
          <w:marRight w:val="0"/>
          <w:marTop w:val="0"/>
          <w:marBottom w:val="0"/>
          <w:divBdr>
            <w:top w:val="none" w:sz="0" w:space="0" w:color="auto"/>
            <w:left w:val="none" w:sz="0" w:space="0" w:color="auto"/>
            <w:bottom w:val="none" w:sz="0" w:space="0" w:color="auto"/>
            <w:right w:val="none" w:sz="0" w:space="0" w:color="auto"/>
          </w:divBdr>
        </w:div>
        <w:div w:id="1429617970">
          <w:marLeft w:val="0"/>
          <w:marRight w:val="0"/>
          <w:marTop w:val="0"/>
          <w:marBottom w:val="0"/>
          <w:divBdr>
            <w:top w:val="none" w:sz="0" w:space="0" w:color="auto"/>
            <w:left w:val="none" w:sz="0" w:space="0" w:color="auto"/>
            <w:bottom w:val="none" w:sz="0" w:space="0" w:color="auto"/>
            <w:right w:val="none" w:sz="0" w:space="0" w:color="auto"/>
          </w:divBdr>
        </w:div>
        <w:div w:id="748159014">
          <w:marLeft w:val="0"/>
          <w:marRight w:val="0"/>
          <w:marTop w:val="0"/>
          <w:marBottom w:val="0"/>
          <w:divBdr>
            <w:top w:val="none" w:sz="0" w:space="0" w:color="auto"/>
            <w:left w:val="none" w:sz="0" w:space="0" w:color="auto"/>
            <w:bottom w:val="none" w:sz="0" w:space="0" w:color="auto"/>
            <w:right w:val="none" w:sz="0" w:space="0" w:color="auto"/>
          </w:divBdr>
        </w:div>
        <w:div w:id="1368916559">
          <w:marLeft w:val="0"/>
          <w:marRight w:val="0"/>
          <w:marTop w:val="0"/>
          <w:marBottom w:val="0"/>
          <w:divBdr>
            <w:top w:val="none" w:sz="0" w:space="0" w:color="auto"/>
            <w:left w:val="none" w:sz="0" w:space="0" w:color="auto"/>
            <w:bottom w:val="none" w:sz="0" w:space="0" w:color="auto"/>
            <w:right w:val="none" w:sz="0" w:space="0" w:color="auto"/>
          </w:divBdr>
        </w:div>
        <w:div w:id="1133987643">
          <w:marLeft w:val="0"/>
          <w:marRight w:val="0"/>
          <w:marTop w:val="0"/>
          <w:marBottom w:val="0"/>
          <w:divBdr>
            <w:top w:val="none" w:sz="0" w:space="0" w:color="auto"/>
            <w:left w:val="none" w:sz="0" w:space="0" w:color="auto"/>
            <w:bottom w:val="none" w:sz="0" w:space="0" w:color="auto"/>
            <w:right w:val="none" w:sz="0" w:space="0" w:color="auto"/>
          </w:divBdr>
        </w:div>
        <w:div w:id="1075206548">
          <w:marLeft w:val="0"/>
          <w:marRight w:val="0"/>
          <w:marTop w:val="0"/>
          <w:marBottom w:val="0"/>
          <w:divBdr>
            <w:top w:val="none" w:sz="0" w:space="0" w:color="auto"/>
            <w:left w:val="none" w:sz="0" w:space="0" w:color="auto"/>
            <w:bottom w:val="none" w:sz="0" w:space="0" w:color="auto"/>
            <w:right w:val="none" w:sz="0" w:space="0" w:color="auto"/>
          </w:divBdr>
        </w:div>
        <w:div w:id="325399381">
          <w:marLeft w:val="0"/>
          <w:marRight w:val="0"/>
          <w:marTop w:val="0"/>
          <w:marBottom w:val="0"/>
          <w:divBdr>
            <w:top w:val="none" w:sz="0" w:space="0" w:color="auto"/>
            <w:left w:val="none" w:sz="0" w:space="0" w:color="auto"/>
            <w:bottom w:val="none" w:sz="0" w:space="0" w:color="auto"/>
            <w:right w:val="none" w:sz="0" w:space="0" w:color="auto"/>
          </w:divBdr>
        </w:div>
        <w:div w:id="1616402766">
          <w:marLeft w:val="0"/>
          <w:marRight w:val="0"/>
          <w:marTop w:val="0"/>
          <w:marBottom w:val="0"/>
          <w:divBdr>
            <w:top w:val="none" w:sz="0" w:space="0" w:color="auto"/>
            <w:left w:val="none" w:sz="0" w:space="0" w:color="auto"/>
            <w:bottom w:val="none" w:sz="0" w:space="0" w:color="auto"/>
            <w:right w:val="none" w:sz="0" w:space="0" w:color="auto"/>
          </w:divBdr>
        </w:div>
        <w:div w:id="926309961">
          <w:marLeft w:val="0"/>
          <w:marRight w:val="0"/>
          <w:marTop w:val="0"/>
          <w:marBottom w:val="0"/>
          <w:divBdr>
            <w:top w:val="none" w:sz="0" w:space="0" w:color="auto"/>
            <w:left w:val="none" w:sz="0" w:space="0" w:color="auto"/>
            <w:bottom w:val="none" w:sz="0" w:space="0" w:color="auto"/>
            <w:right w:val="none" w:sz="0" w:space="0" w:color="auto"/>
          </w:divBdr>
        </w:div>
        <w:div w:id="870218423">
          <w:marLeft w:val="0"/>
          <w:marRight w:val="0"/>
          <w:marTop w:val="0"/>
          <w:marBottom w:val="0"/>
          <w:divBdr>
            <w:top w:val="none" w:sz="0" w:space="0" w:color="auto"/>
            <w:left w:val="none" w:sz="0" w:space="0" w:color="auto"/>
            <w:bottom w:val="none" w:sz="0" w:space="0" w:color="auto"/>
            <w:right w:val="none" w:sz="0" w:space="0" w:color="auto"/>
          </w:divBdr>
        </w:div>
        <w:div w:id="1632124805">
          <w:marLeft w:val="0"/>
          <w:marRight w:val="0"/>
          <w:marTop w:val="0"/>
          <w:marBottom w:val="0"/>
          <w:divBdr>
            <w:top w:val="none" w:sz="0" w:space="0" w:color="auto"/>
            <w:left w:val="none" w:sz="0" w:space="0" w:color="auto"/>
            <w:bottom w:val="none" w:sz="0" w:space="0" w:color="auto"/>
            <w:right w:val="none" w:sz="0" w:space="0" w:color="auto"/>
          </w:divBdr>
        </w:div>
        <w:div w:id="1846942969">
          <w:marLeft w:val="0"/>
          <w:marRight w:val="0"/>
          <w:marTop w:val="0"/>
          <w:marBottom w:val="0"/>
          <w:divBdr>
            <w:top w:val="none" w:sz="0" w:space="0" w:color="auto"/>
            <w:left w:val="none" w:sz="0" w:space="0" w:color="auto"/>
            <w:bottom w:val="none" w:sz="0" w:space="0" w:color="auto"/>
            <w:right w:val="none" w:sz="0" w:space="0" w:color="auto"/>
          </w:divBdr>
        </w:div>
        <w:div w:id="345255331">
          <w:marLeft w:val="0"/>
          <w:marRight w:val="0"/>
          <w:marTop w:val="0"/>
          <w:marBottom w:val="0"/>
          <w:divBdr>
            <w:top w:val="none" w:sz="0" w:space="0" w:color="auto"/>
            <w:left w:val="none" w:sz="0" w:space="0" w:color="auto"/>
            <w:bottom w:val="none" w:sz="0" w:space="0" w:color="auto"/>
            <w:right w:val="none" w:sz="0" w:space="0" w:color="auto"/>
          </w:divBdr>
        </w:div>
        <w:div w:id="1556350956">
          <w:marLeft w:val="0"/>
          <w:marRight w:val="0"/>
          <w:marTop w:val="0"/>
          <w:marBottom w:val="0"/>
          <w:divBdr>
            <w:top w:val="none" w:sz="0" w:space="0" w:color="auto"/>
            <w:left w:val="none" w:sz="0" w:space="0" w:color="auto"/>
            <w:bottom w:val="none" w:sz="0" w:space="0" w:color="auto"/>
            <w:right w:val="none" w:sz="0" w:space="0" w:color="auto"/>
          </w:divBdr>
        </w:div>
        <w:div w:id="1853572715">
          <w:marLeft w:val="0"/>
          <w:marRight w:val="0"/>
          <w:marTop w:val="0"/>
          <w:marBottom w:val="0"/>
          <w:divBdr>
            <w:top w:val="none" w:sz="0" w:space="0" w:color="auto"/>
            <w:left w:val="none" w:sz="0" w:space="0" w:color="auto"/>
            <w:bottom w:val="none" w:sz="0" w:space="0" w:color="auto"/>
            <w:right w:val="none" w:sz="0" w:space="0" w:color="auto"/>
          </w:divBdr>
        </w:div>
        <w:div w:id="147017635">
          <w:marLeft w:val="0"/>
          <w:marRight w:val="0"/>
          <w:marTop w:val="0"/>
          <w:marBottom w:val="0"/>
          <w:divBdr>
            <w:top w:val="none" w:sz="0" w:space="0" w:color="auto"/>
            <w:left w:val="none" w:sz="0" w:space="0" w:color="auto"/>
            <w:bottom w:val="none" w:sz="0" w:space="0" w:color="auto"/>
            <w:right w:val="none" w:sz="0" w:space="0" w:color="auto"/>
          </w:divBdr>
        </w:div>
        <w:div w:id="573509307">
          <w:marLeft w:val="0"/>
          <w:marRight w:val="0"/>
          <w:marTop w:val="0"/>
          <w:marBottom w:val="0"/>
          <w:divBdr>
            <w:top w:val="none" w:sz="0" w:space="0" w:color="auto"/>
            <w:left w:val="none" w:sz="0" w:space="0" w:color="auto"/>
            <w:bottom w:val="none" w:sz="0" w:space="0" w:color="auto"/>
            <w:right w:val="none" w:sz="0" w:space="0" w:color="auto"/>
          </w:divBdr>
        </w:div>
        <w:div w:id="2053653433">
          <w:marLeft w:val="0"/>
          <w:marRight w:val="0"/>
          <w:marTop w:val="0"/>
          <w:marBottom w:val="0"/>
          <w:divBdr>
            <w:top w:val="none" w:sz="0" w:space="0" w:color="auto"/>
            <w:left w:val="none" w:sz="0" w:space="0" w:color="auto"/>
            <w:bottom w:val="none" w:sz="0" w:space="0" w:color="auto"/>
            <w:right w:val="none" w:sz="0" w:space="0" w:color="auto"/>
          </w:divBdr>
        </w:div>
        <w:div w:id="357976564">
          <w:marLeft w:val="0"/>
          <w:marRight w:val="0"/>
          <w:marTop w:val="0"/>
          <w:marBottom w:val="0"/>
          <w:divBdr>
            <w:top w:val="none" w:sz="0" w:space="0" w:color="auto"/>
            <w:left w:val="none" w:sz="0" w:space="0" w:color="auto"/>
            <w:bottom w:val="none" w:sz="0" w:space="0" w:color="auto"/>
            <w:right w:val="none" w:sz="0" w:space="0" w:color="auto"/>
          </w:divBdr>
        </w:div>
        <w:div w:id="1549955483">
          <w:marLeft w:val="0"/>
          <w:marRight w:val="0"/>
          <w:marTop w:val="0"/>
          <w:marBottom w:val="0"/>
          <w:divBdr>
            <w:top w:val="none" w:sz="0" w:space="0" w:color="auto"/>
            <w:left w:val="none" w:sz="0" w:space="0" w:color="auto"/>
            <w:bottom w:val="none" w:sz="0" w:space="0" w:color="auto"/>
            <w:right w:val="none" w:sz="0" w:space="0" w:color="auto"/>
          </w:divBdr>
        </w:div>
        <w:div w:id="580527920">
          <w:marLeft w:val="0"/>
          <w:marRight w:val="0"/>
          <w:marTop w:val="0"/>
          <w:marBottom w:val="0"/>
          <w:divBdr>
            <w:top w:val="none" w:sz="0" w:space="0" w:color="auto"/>
            <w:left w:val="none" w:sz="0" w:space="0" w:color="auto"/>
            <w:bottom w:val="none" w:sz="0" w:space="0" w:color="auto"/>
            <w:right w:val="none" w:sz="0" w:space="0" w:color="auto"/>
          </w:divBdr>
        </w:div>
        <w:div w:id="1573158115">
          <w:marLeft w:val="0"/>
          <w:marRight w:val="0"/>
          <w:marTop w:val="0"/>
          <w:marBottom w:val="0"/>
          <w:divBdr>
            <w:top w:val="none" w:sz="0" w:space="0" w:color="auto"/>
            <w:left w:val="none" w:sz="0" w:space="0" w:color="auto"/>
            <w:bottom w:val="none" w:sz="0" w:space="0" w:color="auto"/>
            <w:right w:val="none" w:sz="0" w:space="0" w:color="auto"/>
          </w:divBdr>
        </w:div>
        <w:div w:id="1592808636">
          <w:marLeft w:val="0"/>
          <w:marRight w:val="0"/>
          <w:marTop w:val="0"/>
          <w:marBottom w:val="0"/>
          <w:divBdr>
            <w:top w:val="none" w:sz="0" w:space="0" w:color="auto"/>
            <w:left w:val="none" w:sz="0" w:space="0" w:color="auto"/>
            <w:bottom w:val="none" w:sz="0" w:space="0" w:color="auto"/>
            <w:right w:val="none" w:sz="0" w:space="0" w:color="auto"/>
          </w:divBdr>
        </w:div>
        <w:div w:id="1384599991">
          <w:marLeft w:val="0"/>
          <w:marRight w:val="0"/>
          <w:marTop w:val="0"/>
          <w:marBottom w:val="0"/>
          <w:divBdr>
            <w:top w:val="none" w:sz="0" w:space="0" w:color="auto"/>
            <w:left w:val="none" w:sz="0" w:space="0" w:color="auto"/>
            <w:bottom w:val="none" w:sz="0" w:space="0" w:color="auto"/>
            <w:right w:val="none" w:sz="0" w:space="0" w:color="auto"/>
          </w:divBdr>
        </w:div>
        <w:div w:id="1704298">
          <w:marLeft w:val="0"/>
          <w:marRight w:val="0"/>
          <w:marTop w:val="0"/>
          <w:marBottom w:val="0"/>
          <w:divBdr>
            <w:top w:val="none" w:sz="0" w:space="0" w:color="auto"/>
            <w:left w:val="none" w:sz="0" w:space="0" w:color="auto"/>
            <w:bottom w:val="none" w:sz="0" w:space="0" w:color="auto"/>
            <w:right w:val="none" w:sz="0" w:space="0" w:color="auto"/>
          </w:divBdr>
        </w:div>
        <w:div w:id="159202803">
          <w:marLeft w:val="0"/>
          <w:marRight w:val="0"/>
          <w:marTop w:val="0"/>
          <w:marBottom w:val="0"/>
          <w:divBdr>
            <w:top w:val="none" w:sz="0" w:space="0" w:color="auto"/>
            <w:left w:val="none" w:sz="0" w:space="0" w:color="auto"/>
            <w:bottom w:val="none" w:sz="0" w:space="0" w:color="auto"/>
            <w:right w:val="none" w:sz="0" w:space="0" w:color="auto"/>
          </w:divBdr>
        </w:div>
        <w:div w:id="696783149">
          <w:marLeft w:val="0"/>
          <w:marRight w:val="0"/>
          <w:marTop w:val="0"/>
          <w:marBottom w:val="0"/>
          <w:divBdr>
            <w:top w:val="none" w:sz="0" w:space="0" w:color="auto"/>
            <w:left w:val="none" w:sz="0" w:space="0" w:color="auto"/>
            <w:bottom w:val="none" w:sz="0" w:space="0" w:color="auto"/>
            <w:right w:val="none" w:sz="0" w:space="0" w:color="auto"/>
          </w:divBdr>
        </w:div>
        <w:div w:id="728695795">
          <w:marLeft w:val="0"/>
          <w:marRight w:val="0"/>
          <w:marTop w:val="0"/>
          <w:marBottom w:val="0"/>
          <w:divBdr>
            <w:top w:val="none" w:sz="0" w:space="0" w:color="auto"/>
            <w:left w:val="none" w:sz="0" w:space="0" w:color="auto"/>
            <w:bottom w:val="none" w:sz="0" w:space="0" w:color="auto"/>
            <w:right w:val="none" w:sz="0" w:space="0" w:color="auto"/>
          </w:divBdr>
        </w:div>
        <w:div w:id="279996676">
          <w:marLeft w:val="0"/>
          <w:marRight w:val="0"/>
          <w:marTop w:val="0"/>
          <w:marBottom w:val="0"/>
          <w:divBdr>
            <w:top w:val="none" w:sz="0" w:space="0" w:color="auto"/>
            <w:left w:val="none" w:sz="0" w:space="0" w:color="auto"/>
            <w:bottom w:val="none" w:sz="0" w:space="0" w:color="auto"/>
            <w:right w:val="none" w:sz="0" w:space="0" w:color="auto"/>
          </w:divBdr>
        </w:div>
        <w:div w:id="1564638090">
          <w:marLeft w:val="0"/>
          <w:marRight w:val="0"/>
          <w:marTop w:val="0"/>
          <w:marBottom w:val="0"/>
          <w:divBdr>
            <w:top w:val="none" w:sz="0" w:space="0" w:color="auto"/>
            <w:left w:val="none" w:sz="0" w:space="0" w:color="auto"/>
            <w:bottom w:val="none" w:sz="0" w:space="0" w:color="auto"/>
            <w:right w:val="none" w:sz="0" w:space="0" w:color="auto"/>
          </w:divBdr>
        </w:div>
        <w:div w:id="102965524">
          <w:marLeft w:val="0"/>
          <w:marRight w:val="0"/>
          <w:marTop w:val="0"/>
          <w:marBottom w:val="0"/>
          <w:divBdr>
            <w:top w:val="none" w:sz="0" w:space="0" w:color="auto"/>
            <w:left w:val="none" w:sz="0" w:space="0" w:color="auto"/>
            <w:bottom w:val="none" w:sz="0" w:space="0" w:color="auto"/>
            <w:right w:val="none" w:sz="0" w:space="0" w:color="auto"/>
          </w:divBdr>
        </w:div>
        <w:div w:id="210386443">
          <w:marLeft w:val="0"/>
          <w:marRight w:val="0"/>
          <w:marTop w:val="0"/>
          <w:marBottom w:val="0"/>
          <w:divBdr>
            <w:top w:val="none" w:sz="0" w:space="0" w:color="auto"/>
            <w:left w:val="none" w:sz="0" w:space="0" w:color="auto"/>
            <w:bottom w:val="none" w:sz="0" w:space="0" w:color="auto"/>
            <w:right w:val="none" w:sz="0" w:space="0" w:color="auto"/>
          </w:divBdr>
        </w:div>
        <w:div w:id="1282374495">
          <w:marLeft w:val="0"/>
          <w:marRight w:val="0"/>
          <w:marTop w:val="0"/>
          <w:marBottom w:val="0"/>
          <w:divBdr>
            <w:top w:val="none" w:sz="0" w:space="0" w:color="auto"/>
            <w:left w:val="none" w:sz="0" w:space="0" w:color="auto"/>
            <w:bottom w:val="none" w:sz="0" w:space="0" w:color="auto"/>
            <w:right w:val="none" w:sz="0" w:space="0" w:color="auto"/>
          </w:divBdr>
        </w:div>
        <w:div w:id="1167404335">
          <w:marLeft w:val="0"/>
          <w:marRight w:val="0"/>
          <w:marTop w:val="0"/>
          <w:marBottom w:val="0"/>
          <w:divBdr>
            <w:top w:val="none" w:sz="0" w:space="0" w:color="auto"/>
            <w:left w:val="none" w:sz="0" w:space="0" w:color="auto"/>
            <w:bottom w:val="none" w:sz="0" w:space="0" w:color="auto"/>
            <w:right w:val="none" w:sz="0" w:space="0" w:color="auto"/>
          </w:divBdr>
        </w:div>
        <w:div w:id="2119526649">
          <w:marLeft w:val="0"/>
          <w:marRight w:val="0"/>
          <w:marTop w:val="0"/>
          <w:marBottom w:val="0"/>
          <w:divBdr>
            <w:top w:val="none" w:sz="0" w:space="0" w:color="auto"/>
            <w:left w:val="none" w:sz="0" w:space="0" w:color="auto"/>
            <w:bottom w:val="none" w:sz="0" w:space="0" w:color="auto"/>
            <w:right w:val="none" w:sz="0" w:space="0" w:color="auto"/>
          </w:divBdr>
        </w:div>
        <w:div w:id="1339431180">
          <w:marLeft w:val="0"/>
          <w:marRight w:val="0"/>
          <w:marTop w:val="0"/>
          <w:marBottom w:val="0"/>
          <w:divBdr>
            <w:top w:val="none" w:sz="0" w:space="0" w:color="auto"/>
            <w:left w:val="none" w:sz="0" w:space="0" w:color="auto"/>
            <w:bottom w:val="none" w:sz="0" w:space="0" w:color="auto"/>
            <w:right w:val="none" w:sz="0" w:space="0" w:color="auto"/>
          </w:divBdr>
        </w:div>
        <w:div w:id="2002850096">
          <w:marLeft w:val="0"/>
          <w:marRight w:val="0"/>
          <w:marTop w:val="0"/>
          <w:marBottom w:val="0"/>
          <w:divBdr>
            <w:top w:val="none" w:sz="0" w:space="0" w:color="auto"/>
            <w:left w:val="none" w:sz="0" w:space="0" w:color="auto"/>
            <w:bottom w:val="none" w:sz="0" w:space="0" w:color="auto"/>
            <w:right w:val="none" w:sz="0" w:space="0" w:color="auto"/>
          </w:divBdr>
        </w:div>
        <w:div w:id="2005929785">
          <w:marLeft w:val="0"/>
          <w:marRight w:val="0"/>
          <w:marTop w:val="0"/>
          <w:marBottom w:val="0"/>
          <w:divBdr>
            <w:top w:val="none" w:sz="0" w:space="0" w:color="auto"/>
            <w:left w:val="none" w:sz="0" w:space="0" w:color="auto"/>
            <w:bottom w:val="none" w:sz="0" w:space="0" w:color="auto"/>
            <w:right w:val="none" w:sz="0" w:space="0" w:color="auto"/>
          </w:divBdr>
        </w:div>
        <w:div w:id="331839892">
          <w:marLeft w:val="0"/>
          <w:marRight w:val="0"/>
          <w:marTop w:val="0"/>
          <w:marBottom w:val="0"/>
          <w:divBdr>
            <w:top w:val="none" w:sz="0" w:space="0" w:color="auto"/>
            <w:left w:val="none" w:sz="0" w:space="0" w:color="auto"/>
            <w:bottom w:val="none" w:sz="0" w:space="0" w:color="auto"/>
            <w:right w:val="none" w:sz="0" w:space="0" w:color="auto"/>
          </w:divBdr>
        </w:div>
        <w:div w:id="736981301">
          <w:marLeft w:val="0"/>
          <w:marRight w:val="0"/>
          <w:marTop w:val="0"/>
          <w:marBottom w:val="0"/>
          <w:divBdr>
            <w:top w:val="none" w:sz="0" w:space="0" w:color="auto"/>
            <w:left w:val="none" w:sz="0" w:space="0" w:color="auto"/>
            <w:bottom w:val="none" w:sz="0" w:space="0" w:color="auto"/>
            <w:right w:val="none" w:sz="0" w:space="0" w:color="auto"/>
          </w:divBdr>
        </w:div>
        <w:div w:id="868832926">
          <w:marLeft w:val="0"/>
          <w:marRight w:val="0"/>
          <w:marTop w:val="0"/>
          <w:marBottom w:val="0"/>
          <w:divBdr>
            <w:top w:val="none" w:sz="0" w:space="0" w:color="auto"/>
            <w:left w:val="none" w:sz="0" w:space="0" w:color="auto"/>
            <w:bottom w:val="none" w:sz="0" w:space="0" w:color="auto"/>
            <w:right w:val="none" w:sz="0" w:space="0" w:color="auto"/>
          </w:divBdr>
        </w:div>
        <w:div w:id="538862788">
          <w:marLeft w:val="0"/>
          <w:marRight w:val="0"/>
          <w:marTop w:val="0"/>
          <w:marBottom w:val="0"/>
          <w:divBdr>
            <w:top w:val="none" w:sz="0" w:space="0" w:color="auto"/>
            <w:left w:val="none" w:sz="0" w:space="0" w:color="auto"/>
            <w:bottom w:val="none" w:sz="0" w:space="0" w:color="auto"/>
            <w:right w:val="none" w:sz="0" w:space="0" w:color="auto"/>
          </w:divBdr>
        </w:div>
        <w:div w:id="2087190694">
          <w:marLeft w:val="0"/>
          <w:marRight w:val="0"/>
          <w:marTop w:val="0"/>
          <w:marBottom w:val="0"/>
          <w:divBdr>
            <w:top w:val="none" w:sz="0" w:space="0" w:color="auto"/>
            <w:left w:val="none" w:sz="0" w:space="0" w:color="auto"/>
            <w:bottom w:val="none" w:sz="0" w:space="0" w:color="auto"/>
            <w:right w:val="none" w:sz="0" w:space="0" w:color="auto"/>
          </w:divBdr>
        </w:div>
        <w:div w:id="1412702174">
          <w:marLeft w:val="0"/>
          <w:marRight w:val="0"/>
          <w:marTop w:val="0"/>
          <w:marBottom w:val="0"/>
          <w:divBdr>
            <w:top w:val="none" w:sz="0" w:space="0" w:color="auto"/>
            <w:left w:val="none" w:sz="0" w:space="0" w:color="auto"/>
            <w:bottom w:val="none" w:sz="0" w:space="0" w:color="auto"/>
            <w:right w:val="none" w:sz="0" w:space="0" w:color="auto"/>
          </w:divBdr>
        </w:div>
        <w:div w:id="107506588">
          <w:marLeft w:val="0"/>
          <w:marRight w:val="0"/>
          <w:marTop w:val="0"/>
          <w:marBottom w:val="0"/>
          <w:divBdr>
            <w:top w:val="none" w:sz="0" w:space="0" w:color="auto"/>
            <w:left w:val="none" w:sz="0" w:space="0" w:color="auto"/>
            <w:bottom w:val="none" w:sz="0" w:space="0" w:color="auto"/>
            <w:right w:val="none" w:sz="0" w:space="0" w:color="auto"/>
          </w:divBdr>
        </w:div>
        <w:div w:id="512109014">
          <w:marLeft w:val="0"/>
          <w:marRight w:val="0"/>
          <w:marTop w:val="0"/>
          <w:marBottom w:val="0"/>
          <w:divBdr>
            <w:top w:val="none" w:sz="0" w:space="0" w:color="auto"/>
            <w:left w:val="none" w:sz="0" w:space="0" w:color="auto"/>
            <w:bottom w:val="none" w:sz="0" w:space="0" w:color="auto"/>
            <w:right w:val="none" w:sz="0" w:space="0" w:color="auto"/>
          </w:divBdr>
        </w:div>
        <w:div w:id="2006124225">
          <w:marLeft w:val="0"/>
          <w:marRight w:val="0"/>
          <w:marTop w:val="0"/>
          <w:marBottom w:val="0"/>
          <w:divBdr>
            <w:top w:val="none" w:sz="0" w:space="0" w:color="auto"/>
            <w:left w:val="none" w:sz="0" w:space="0" w:color="auto"/>
            <w:bottom w:val="none" w:sz="0" w:space="0" w:color="auto"/>
            <w:right w:val="none" w:sz="0" w:space="0" w:color="auto"/>
          </w:divBdr>
        </w:div>
        <w:div w:id="1373381005">
          <w:marLeft w:val="0"/>
          <w:marRight w:val="0"/>
          <w:marTop w:val="0"/>
          <w:marBottom w:val="0"/>
          <w:divBdr>
            <w:top w:val="none" w:sz="0" w:space="0" w:color="auto"/>
            <w:left w:val="none" w:sz="0" w:space="0" w:color="auto"/>
            <w:bottom w:val="none" w:sz="0" w:space="0" w:color="auto"/>
            <w:right w:val="none" w:sz="0" w:space="0" w:color="auto"/>
          </w:divBdr>
        </w:div>
        <w:div w:id="933633935">
          <w:marLeft w:val="0"/>
          <w:marRight w:val="0"/>
          <w:marTop w:val="0"/>
          <w:marBottom w:val="0"/>
          <w:divBdr>
            <w:top w:val="none" w:sz="0" w:space="0" w:color="auto"/>
            <w:left w:val="none" w:sz="0" w:space="0" w:color="auto"/>
            <w:bottom w:val="none" w:sz="0" w:space="0" w:color="auto"/>
            <w:right w:val="none" w:sz="0" w:space="0" w:color="auto"/>
          </w:divBdr>
        </w:div>
        <w:div w:id="1098525945">
          <w:marLeft w:val="0"/>
          <w:marRight w:val="0"/>
          <w:marTop w:val="0"/>
          <w:marBottom w:val="0"/>
          <w:divBdr>
            <w:top w:val="none" w:sz="0" w:space="0" w:color="auto"/>
            <w:left w:val="none" w:sz="0" w:space="0" w:color="auto"/>
            <w:bottom w:val="none" w:sz="0" w:space="0" w:color="auto"/>
            <w:right w:val="none" w:sz="0" w:space="0" w:color="auto"/>
          </w:divBdr>
        </w:div>
        <w:div w:id="1374648148">
          <w:marLeft w:val="0"/>
          <w:marRight w:val="0"/>
          <w:marTop w:val="0"/>
          <w:marBottom w:val="0"/>
          <w:divBdr>
            <w:top w:val="none" w:sz="0" w:space="0" w:color="auto"/>
            <w:left w:val="none" w:sz="0" w:space="0" w:color="auto"/>
            <w:bottom w:val="none" w:sz="0" w:space="0" w:color="auto"/>
            <w:right w:val="none" w:sz="0" w:space="0" w:color="auto"/>
          </w:divBdr>
        </w:div>
        <w:div w:id="101808860">
          <w:marLeft w:val="0"/>
          <w:marRight w:val="0"/>
          <w:marTop w:val="0"/>
          <w:marBottom w:val="0"/>
          <w:divBdr>
            <w:top w:val="none" w:sz="0" w:space="0" w:color="auto"/>
            <w:left w:val="none" w:sz="0" w:space="0" w:color="auto"/>
            <w:bottom w:val="none" w:sz="0" w:space="0" w:color="auto"/>
            <w:right w:val="none" w:sz="0" w:space="0" w:color="auto"/>
          </w:divBdr>
        </w:div>
        <w:div w:id="1772892961">
          <w:marLeft w:val="0"/>
          <w:marRight w:val="0"/>
          <w:marTop w:val="0"/>
          <w:marBottom w:val="0"/>
          <w:divBdr>
            <w:top w:val="none" w:sz="0" w:space="0" w:color="auto"/>
            <w:left w:val="none" w:sz="0" w:space="0" w:color="auto"/>
            <w:bottom w:val="none" w:sz="0" w:space="0" w:color="auto"/>
            <w:right w:val="none" w:sz="0" w:space="0" w:color="auto"/>
          </w:divBdr>
        </w:div>
        <w:div w:id="245961599">
          <w:marLeft w:val="0"/>
          <w:marRight w:val="0"/>
          <w:marTop w:val="0"/>
          <w:marBottom w:val="0"/>
          <w:divBdr>
            <w:top w:val="none" w:sz="0" w:space="0" w:color="auto"/>
            <w:left w:val="none" w:sz="0" w:space="0" w:color="auto"/>
            <w:bottom w:val="none" w:sz="0" w:space="0" w:color="auto"/>
            <w:right w:val="none" w:sz="0" w:space="0" w:color="auto"/>
          </w:divBdr>
        </w:div>
        <w:div w:id="14111759">
          <w:marLeft w:val="0"/>
          <w:marRight w:val="0"/>
          <w:marTop w:val="0"/>
          <w:marBottom w:val="0"/>
          <w:divBdr>
            <w:top w:val="none" w:sz="0" w:space="0" w:color="auto"/>
            <w:left w:val="none" w:sz="0" w:space="0" w:color="auto"/>
            <w:bottom w:val="none" w:sz="0" w:space="0" w:color="auto"/>
            <w:right w:val="none" w:sz="0" w:space="0" w:color="auto"/>
          </w:divBdr>
        </w:div>
        <w:div w:id="2068718788">
          <w:marLeft w:val="0"/>
          <w:marRight w:val="0"/>
          <w:marTop w:val="0"/>
          <w:marBottom w:val="0"/>
          <w:divBdr>
            <w:top w:val="none" w:sz="0" w:space="0" w:color="auto"/>
            <w:left w:val="none" w:sz="0" w:space="0" w:color="auto"/>
            <w:bottom w:val="none" w:sz="0" w:space="0" w:color="auto"/>
            <w:right w:val="none" w:sz="0" w:space="0" w:color="auto"/>
          </w:divBdr>
        </w:div>
        <w:div w:id="41759922">
          <w:marLeft w:val="0"/>
          <w:marRight w:val="0"/>
          <w:marTop w:val="0"/>
          <w:marBottom w:val="0"/>
          <w:divBdr>
            <w:top w:val="none" w:sz="0" w:space="0" w:color="auto"/>
            <w:left w:val="none" w:sz="0" w:space="0" w:color="auto"/>
            <w:bottom w:val="none" w:sz="0" w:space="0" w:color="auto"/>
            <w:right w:val="none" w:sz="0" w:space="0" w:color="auto"/>
          </w:divBdr>
        </w:div>
        <w:div w:id="527834735">
          <w:marLeft w:val="0"/>
          <w:marRight w:val="0"/>
          <w:marTop w:val="0"/>
          <w:marBottom w:val="0"/>
          <w:divBdr>
            <w:top w:val="none" w:sz="0" w:space="0" w:color="auto"/>
            <w:left w:val="none" w:sz="0" w:space="0" w:color="auto"/>
            <w:bottom w:val="none" w:sz="0" w:space="0" w:color="auto"/>
            <w:right w:val="none" w:sz="0" w:space="0" w:color="auto"/>
          </w:divBdr>
        </w:div>
        <w:div w:id="665521845">
          <w:marLeft w:val="0"/>
          <w:marRight w:val="0"/>
          <w:marTop w:val="0"/>
          <w:marBottom w:val="0"/>
          <w:divBdr>
            <w:top w:val="none" w:sz="0" w:space="0" w:color="auto"/>
            <w:left w:val="none" w:sz="0" w:space="0" w:color="auto"/>
            <w:bottom w:val="none" w:sz="0" w:space="0" w:color="auto"/>
            <w:right w:val="none" w:sz="0" w:space="0" w:color="auto"/>
          </w:divBdr>
        </w:div>
        <w:div w:id="1062994123">
          <w:marLeft w:val="0"/>
          <w:marRight w:val="0"/>
          <w:marTop w:val="0"/>
          <w:marBottom w:val="0"/>
          <w:divBdr>
            <w:top w:val="none" w:sz="0" w:space="0" w:color="auto"/>
            <w:left w:val="none" w:sz="0" w:space="0" w:color="auto"/>
            <w:bottom w:val="none" w:sz="0" w:space="0" w:color="auto"/>
            <w:right w:val="none" w:sz="0" w:space="0" w:color="auto"/>
          </w:divBdr>
        </w:div>
        <w:div w:id="2071031191">
          <w:marLeft w:val="0"/>
          <w:marRight w:val="0"/>
          <w:marTop w:val="0"/>
          <w:marBottom w:val="0"/>
          <w:divBdr>
            <w:top w:val="none" w:sz="0" w:space="0" w:color="auto"/>
            <w:left w:val="none" w:sz="0" w:space="0" w:color="auto"/>
            <w:bottom w:val="none" w:sz="0" w:space="0" w:color="auto"/>
            <w:right w:val="none" w:sz="0" w:space="0" w:color="auto"/>
          </w:divBdr>
        </w:div>
        <w:div w:id="107479237">
          <w:marLeft w:val="0"/>
          <w:marRight w:val="0"/>
          <w:marTop w:val="0"/>
          <w:marBottom w:val="0"/>
          <w:divBdr>
            <w:top w:val="none" w:sz="0" w:space="0" w:color="auto"/>
            <w:left w:val="none" w:sz="0" w:space="0" w:color="auto"/>
            <w:bottom w:val="none" w:sz="0" w:space="0" w:color="auto"/>
            <w:right w:val="none" w:sz="0" w:space="0" w:color="auto"/>
          </w:divBdr>
        </w:div>
        <w:div w:id="314530083">
          <w:marLeft w:val="0"/>
          <w:marRight w:val="0"/>
          <w:marTop w:val="0"/>
          <w:marBottom w:val="0"/>
          <w:divBdr>
            <w:top w:val="none" w:sz="0" w:space="0" w:color="auto"/>
            <w:left w:val="none" w:sz="0" w:space="0" w:color="auto"/>
            <w:bottom w:val="none" w:sz="0" w:space="0" w:color="auto"/>
            <w:right w:val="none" w:sz="0" w:space="0" w:color="auto"/>
          </w:divBdr>
        </w:div>
        <w:div w:id="372123794">
          <w:marLeft w:val="0"/>
          <w:marRight w:val="0"/>
          <w:marTop w:val="0"/>
          <w:marBottom w:val="0"/>
          <w:divBdr>
            <w:top w:val="none" w:sz="0" w:space="0" w:color="auto"/>
            <w:left w:val="none" w:sz="0" w:space="0" w:color="auto"/>
            <w:bottom w:val="none" w:sz="0" w:space="0" w:color="auto"/>
            <w:right w:val="none" w:sz="0" w:space="0" w:color="auto"/>
          </w:divBdr>
        </w:div>
        <w:div w:id="172693879">
          <w:marLeft w:val="0"/>
          <w:marRight w:val="0"/>
          <w:marTop w:val="0"/>
          <w:marBottom w:val="0"/>
          <w:divBdr>
            <w:top w:val="none" w:sz="0" w:space="0" w:color="auto"/>
            <w:left w:val="none" w:sz="0" w:space="0" w:color="auto"/>
            <w:bottom w:val="none" w:sz="0" w:space="0" w:color="auto"/>
            <w:right w:val="none" w:sz="0" w:space="0" w:color="auto"/>
          </w:divBdr>
        </w:div>
        <w:div w:id="1693604086">
          <w:marLeft w:val="0"/>
          <w:marRight w:val="0"/>
          <w:marTop w:val="0"/>
          <w:marBottom w:val="0"/>
          <w:divBdr>
            <w:top w:val="none" w:sz="0" w:space="0" w:color="auto"/>
            <w:left w:val="none" w:sz="0" w:space="0" w:color="auto"/>
            <w:bottom w:val="none" w:sz="0" w:space="0" w:color="auto"/>
            <w:right w:val="none" w:sz="0" w:space="0" w:color="auto"/>
          </w:divBdr>
        </w:div>
        <w:div w:id="1726415317">
          <w:marLeft w:val="0"/>
          <w:marRight w:val="0"/>
          <w:marTop w:val="0"/>
          <w:marBottom w:val="0"/>
          <w:divBdr>
            <w:top w:val="none" w:sz="0" w:space="0" w:color="auto"/>
            <w:left w:val="none" w:sz="0" w:space="0" w:color="auto"/>
            <w:bottom w:val="none" w:sz="0" w:space="0" w:color="auto"/>
            <w:right w:val="none" w:sz="0" w:space="0" w:color="auto"/>
          </w:divBdr>
        </w:div>
        <w:div w:id="1659459958">
          <w:marLeft w:val="0"/>
          <w:marRight w:val="0"/>
          <w:marTop w:val="0"/>
          <w:marBottom w:val="0"/>
          <w:divBdr>
            <w:top w:val="none" w:sz="0" w:space="0" w:color="auto"/>
            <w:left w:val="none" w:sz="0" w:space="0" w:color="auto"/>
            <w:bottom w:val="none" w:sz="0" w:space="0" w:color="auto"/>
            <w:right w:val="none" w:sz="0" w:space="0" w:color="auto"/>
          </w:divBdr>
        </w:div>
        <w:div w:id="1347634789">
          <w:marLeft w:val="0"/>
          <w:marRight w:val="0"/>
          <w:marTop w:val="0"/>
          <w:marBottom w:val="0"/>
          <w:divBdr>
            <w:top w:val="none" w:sz="0" w:space="0" w:color="auto"/>
            <w:left w:val="none" w:sz="0" w:space="0" w:color="auto"/>
            <w:bottom w:val="none" w:sz="0" w:space="0" w:color="auto"/>
            <w:right w:val="none" w:sz="0" w:space="0" w:color="auto"/>
          </w:divBdr>
        </w:div>
        <w:div w:id="858205056">
          <w:marLeft w:val="0"/>
          <w:marRight w:val="0"/>
          <w:marTop w:val="0"/>
          <w:marBottom w:val="0"/>
          <w:divBdr>
            <w:top w:val="none" w:sz="0" w:space="0" w:color="auto"/>
            <w:left w:val="none" w:sz="0" w:space="0" w:color="auto"/>
            <w:bottom w:val="none" w:sz="0" w:space="0" w:color="auto"/>
            <w:right w:val="none" w:sz="0" w:space="0" w:color="auto"/>
          </w:divBdr>
        </w:div>
        <w:div w:id="782923240">
          <w:marLeft w:val="0"/>
          <w:marRight w:val="0"/>
          <w:marTop w:val="0"/>
          <w:marBottom w:val="0"/>
          <w:divBdr>
            <w:top w:val="none" w:sz="0" w:space="0" w:color="auto"/>
            <w:left w:val="none" w:sz="0" w:space="0" w:color="auto"/>
            <w:bottom w:val="none" w:sz="0" w:space="0" w:color="auto"/>
            <w:right w:val="none" w:sz="0" w:space="0" w:color="auto"/>
          </w:divBdr>
        </w:div>
        <w:div w:id="806246278">
          <w:marLeft w:val="0"/>
          <w:marRight w:val="0"/>
          <w:marTop w:val="0"/>
          <w:marBottom w:val="0"/>
          <w:divBdr>
            <w:top w:val="none" w:sz="0" w:space="0" w:color="auto"/>
            <w:left w:val="none" w:sz="0" w:space="0" w:color="auto"/>
            <w:bottom w:val="none" w:sz="0" w:space="0" w:color="auto"/>
            <w:right w:val="none" w:sz="0" w:space="0" w:color="auto"/>
          </w:divBdr>
        </w:div>
        <w:div w:id="627397784">
          <w:marLeft w:val="0"/>
          <w:marRight w:val="0"/>
          <w:marTop w:val="0"/>
          <w:marBottom w:val="0"/>
          <w:divBdr>
            <w:top w:val="none" w:sz="0" w:space="0" w:color="auto"/>
            <w:left w:val="none" w:sz="0" w:space="0" w:color="auto"/>
            <w:bottom w:val="none" w:sz="0" w:space="0" w:color="auto"/>
            <w:right w:val="none" w:sz="0" w:space="0" w:color="auto"/>
          </w:divBdr>
        </w:div>
        <w:div w:id="1107626841">
          <w:marLeft w:val="0"/>
          <w:marRight w:val="0"/>
          <w:marTop w:val="0"/>
          <w:marBottom w:val="0"/>
          <w:divBdr>
            <w:top w:val="none" w:sz="0" w:space="0" w:color="auto"/>
            <w:left w:val="none" w:sz="0" w:space="0" w:color="auto"/>
            <w:bottom w:val="none" w:sz="0" w:space="0" w:color="auto"/>
            <w:right w:val="none" w:sz="0" w:space="0" w:color="auto"/>
          </w:divBdr>
        </w:div>
        <w:div w:id="313685273">
          <w:marLeft w:val="0"/>
          <w:marRight w:val="0"/>
          <w:marTop w:val="0"/>
          <w:marBottom w:val="0"/>
          <w:divBdr>
            <w:top w:val="none" w:sz="0" w:space="0" w:color="auto"/>
            <w:left w:val="none" w:sz="0" w:space="0" w:color="auto"/>
            <w:bottom w:val="none" w:sz="0" w:space="0" w:color="auto"/>
            <w:right w:val="none" w:sz="0" w:space="0" w:color="auto"/>
          </w:divBdr>
        </w:div>
        <w:div w:id="1844708844">
          <w:marLeft w:val="0"/>
          <w:marRight w:val="0"/>
          <w:marTop w:val="0"/>
          <w:marBottom w:val="0"/>
          <w:divBdr>
            <w:top w:val="none" w:sz="0" w:space="0" w:color="auto"/>
            <w:left w:val="none" w:sz="0" w:space="0" w:color="auto"/>
            <w:bottom w:val="none" w:sz="0" w:space="0" w:color="auto"/>
            <w:right w:val="none" w:sz="0" w:space="0" w:color="auto"/>
          </w:divBdr>
        </w:div>
        <w:div w:id="1795903390">
          <w:marLeft w:val="0"/>
          <w:marRight w:val="0"/>
          <w:marTop w:val="0"/>
          <w:marBottom w:val="0"/>
          <w:divBdr>
            <w:top w:val="none" w:sz="0" w:space="0" w:color="auto"/>
            <w:left w:val="none" w:sz="0" w:space="0" w:color="auto"/>
            <w:bottom w:val="none" w:sz="0" w:space="0" w:color="auto"/>
            <w:right w:val="none" w:sz="0" w:space="0" w:color="auto"/>
          </w:divBdr>
        </w:div>
        <w:div w:id="1915360860">
          <w:marLeft w:val="0"/>
          <w:marRight w:val="0"/>
          <w:marTop w:val="0"/>
          <w:marBottom w:val="0"/>
          <w:divBdr>
            <w:top w:val="none" w:sz="0" w:space="0" w:color="auto"/>
            <w:left w:val="none" w:sz="0" w:space="0" w:color="auto"/>
            <w:bottom w:val="none" w:sz="0" w:space="0" w:color="auto"/>
            <w:right w:val="none" w:sz="0" w:space="0" w:color="auto"/>
          </w:divBdr>
        </w:div>
        <w:div w:id="302121642">
          <w:marLeft w:val="0"/>
          <w:marRight w:val="0"/>
          <w:marTop w:val="0"/>
          <w:marBottom w:val="0"/>
          <w:divBdr>
            <w:top w:val="none" w:sz="0" w:space="0" w:color="auto"/>
            <w:left w:val="none" w:sz="0" w:space="0" w:color="auto"/>
            <w:bottom w:val="none" w:sz="0" w:space="0" w:color="auto"/>
            <w:right w:val="none" w:sz="0" w:space="0" w:color="auto"/>
          </w:divBdr>
        </w:div>
        <w:div w:id="765811235">
          <w:marLeft w:val="0"/>
          <w:marRight w:val="0"/>
          <w:marTop w:val="0"/>
          <w:marBottom w:val="0"/>
          <w:divBdr>
            <w:top w:val="none" w:sz="0" w:space="0" w:color="auto"/>
            <w:left w:val="none" w:sz="0" w:space="0" w:color="auto"/>
            <w:bottom w:val="none" w:sz="0" w:space="0" w:color="auto"/>
            <w:right w:val="none" w:sz="0" w:space="0" w:color="auto"/>
          </w:divBdr>
        </w:div>
        <w:div w:id="518201433">
          <w:marLeft w:val="0"/>
          <w:marRight w:val="0"/>
          <w:marTop w:val="0"/>
          <w:marBottom w:val="0"/>
          <w:divBdr>
            <w:top w:val="none" w:sz="0" w:space="0" w:color="auto"/>
            <w:left w:val="none" w:sz="0" w:space="0" w:color="auto"/>
            <w:bottom w:val="none" w:sz="0" w:space="0" w:color="auto"/>
            <w:right w:val="none" w:sz="0" w:space="0" w:color="auto"/>
          </w:divBdr>
        </w:div>
        <w:div w:id="2098820240">
          <w:marLeft w:val="0"/>
          <w:marRight w:val="0"/>
          <w:marTop w:val="0"/>
          <w:marBottom w:val="0"/>
          <w:divBdr>
            <w:top w:val="none" w:sz="0" w:space="0" w:color="auto"/>
            <w:left w:val="none" w:sz="0" w:space="0" w:color="auto"/>
            <w:bottom w:val="none" w:sz="0" w:space="0" w:color="auto"/>
            <w:right w:val="none" w:sz="0" w:space="0" w:color="auto"/>
          </w:divBdr>
        </w:div>
        <w:div w:id="1548294108">
          <w:marLeft w:val="0"/>
          <w:marRight w:val="0"/>
          <w:marTop w:val="0"/>
          <w:marBottom w:val="0"/>
          <w:divBdr>
            <w:top w:val="none" w:sz="0" w:space="0" w:color="auto"/>
            <w:left w:val="none" w:sz="0" w:space="0" w:color="auto"/>
            <w:bottom w:val="none" w:sz="0" w:space="0" w:color="auto"/>
            <w:right w:val="none" w:sz="0" w:space="0" w:color="auto"/>
          </w:divBdr>
        </w:div>
        <w:div w:id="1514956584">
          <w:marLeft w:val="0"/>
          <w:marRight w:val="0"/>
          <w:marTop w:val="0"/>
          <w:marBottom w:val="0"/>
          <w:divBdr>
            <w:top w:val="none" w:sz="0" w:space="0" w:color="auto"/>
            <w:left w:val="none" w:sz="0" w:space="0" w:color="auto"/>
            <w:bottom w:val="none" w:sz="0" w:space="0" w:color="auto"/>
            <w:right w:val="none" w:sz="0" w:space="0" w:color="auto"/>
          </w:divBdr>
        </w:div>
        <w:div w:id="478694381">
          <w:marLeft w:val="0"/>
          <w:marRight w:val="0"/>
          <w:marTop w:val="0"/>
          <w:marBottom w:val="0"/>
          <w:divBdr>
            <w:top w:val="none" w:sz="0" w:space="0" w:color="auto"/>
            <w:left w:val="none" w:sz="0" w:space="0" w:color="auto"/>
            <w:bottom w:val="none" w:sz="0" w:space="0" w:color="auto"/>
            <w:right w:val="none" w:sz="0" w:space="0" w:color="auto"/>
          </w:divBdr>
        </w:div>
        <w:div w:id="77600845">
          <w:marLeft w:val="0"/>
          <w:marRight w:val="0"/>
          <w:marTop w:val="0"/>
          <w:marBottom w:val="0"/>
          <w:divBdr>
            <w:top w:val="none" w:sz="0" w:space="0" w:color="auto"/>
            <w:left w:val="none" w:sz="0" w:space="0" w:color="auto"/>
            <w:bottom w:val="none" w:sz="0" w:space="0" w:color="auto"/>
            <w:right w:val="none" w:sz="0" w:space="0" w:color="auto"/>
          </w:divBdr>
        </w:div>
        <w:div w:id="1127547837">
          <w:marLeft w:val="0"/>
          <w:marRight w:val="0"/>
          <w:marTop w:val="0"/>
          <w:marBottom w:val="0"/>
          <w:divBdr>
            <w:top w:val="none" w:sz="0" w:space="0" w:color="auto"/>
            <w:left w:val="none" w:sz="0" w:space="0" w:color="auto"/>
            <w:bottom w:val="none" w:sz="0" w:space="0" w:color="auto"/>
            <w:right w:val="none" w:sz="0" w:space="0" w:color="auto"/>
          </w:divBdr>
        </w:div>
        <w:div w:id="1909030087">
          <w:marLeft w:val="0"/>
          <w:marRight w:val="0"/>
          <w:marTop w:val="0"/>
          <w:marBottom w:val="0"/>
          <w:divBdr>
            <w:top w:val="none" w:sz="0" w:space="0" w:color="auto"/>
            <w:left w:val="none" w:sz="0" w:space="0" w:color="auto"/>
            <w:bottom w:val="none" w:sz="0" w:space="0" w:color="auto"/>
            <w:right w:val="none" w:sz="0" w:space="0" w:color="auto"/>
          </w:divBdr>
        </w:div>
        <w:div w:id="302658742">
          <w:marLeft w:val="0"/>
          <w:marRight w:val="0"/>
          <w:marTop w:val="0"/>
          <w:marBottom w:val="0"/>
          <w:divBdr>
            <w:top w:val="none" w:sz="0" w:space="0" w:color="auto"/>
            <w:left w:val="none" w:sz="0" w:space="0" w:color="auto"/>
            <w:bottom w:val="none" w:sz="0" w:space="0" w:color="auto"/>
            <w:right w:val="none" w:sz="0" w:space="0" w:color="auto"/>
          </w:divBdr>
        </w:div>
        <w:div w:id="935013780">
          <w:marLeft w:val="0"/>
          <w:marRight w:val="0"/>
          <w:marTop w:val="0"/>
          <w:marBottom w:val="0"/>
          <w:divBdr>
            <w:top w:val="none" w:sz="0" w:space="0" w:color="auto"/>
            <w:left w:val="none" w:sz="0" w:space="0" w:color="auto"/>
            <w:bottom w:val="none" w:sz="0" w:space="0" w:color="auto"/>
            <w:right w:val="none" w:sz="0" w:space="0" w:color="auto"/>
          </w:divBdr>
        </w:div>
        <w:div w:id="1342929059">
          <w:marLeft w:val="0"/>
          <w:marRight w:val="0"/>
          <w:marTop w:val="0"/>
          <w:marBottom w:val="0"/>
          <w:divBdr>
            <w:top w:val="none" w:sz="0" w:space="0" w:color="auto"/>
            <w:left w:val="none" w:sz="0" w:space="0" w:color="auto"/>
            <w:bottom w:val="none" w:sz="0" w:space="0" w:color="auto"/>
            <w:right w:val="none" w:sz="0" w:space="0" w:color="auto"/>
          </w:divBdr>
        </w:div>
        <w:div w:id="1121916627">
          <w:marLeft w:val="0"/>
          <w:marRight w:val="0"/>
          <w:marTop w:val="0"/>
          <w:marBottom w:val="0"/>
          <w:divBdr>
            <w:top w:val="none" w:sz="0" w:space="0" w:color="auto"/>
            <w:left w:val="none" w:sz="0" w:space="0" w:color="auto"/>
            <w:bottom w:val="none" w:sz="0" w:space="0" w:color="auto"/>
            <w:right w:val="none" w:sz="0" w:space="0" w:color="auto"/>
          </w:divBdr>
        </w:div>
        <w:div w:id="516778169">
          <w:marLeft w:val="0"/>
          <w:marRight w:val="0"/>
          <w:marTop w:val="0"/>
          <w:marBottom w:val="0"/>
          <w:divBdr>
            <w:top w:val="none" w:sz="0" w:space="0" w:color="auto"/>
            <w:left w:val="none" w:sz="0" w:space="0" w:color="auto"/>
            <w:bottom w:val="none" w:sz="0" w:space="0" w:color="auto"/>
            <w:right w:val="none" w:sz="0" w:space="0" w:color="auto"/>
          </w:divBdr>
        </w:div>
        <w:div w:id="158039262">
          <w:marLeft w:val="0"/>
          <w:marRight w:val="0"/>
          <w:marTop w:val="0"/>
          <w:marBottom w:val="0"/>
          <w:divBdr>
            <w:top w:val="none" w:sz="0" w:space="0" w:color="auto"/>
            <w:left w:val="none" w:sz="0" w:space="0" w:color="auto"/>
            <w:bottom w:val="none" w:sz="0" w:space="0" w:color="auto"/>
            <w:right w:val="none" w:sz="0" w:space="0" w:color="auto"/>
          </w:divBdr>
        </w:div>
        <w:div w:id="84963221">
          <w:marLeft w:val="0"/>
          <w:marRight w:val="0"/>
          <w:marTop w:val="0"/>
          <w:marBottom w:val="0"/>
          <w:divBdr>
            <w:top w:val="none" w:sz="0" w:space="0" w:color="auto"/>
            <w:left w:val="none" w:sz="0" w:space="0" w:color="auto"/>
            <w:bottom w:val="none" w:sz="0" w:space="0" w:color="auto"/>
            <w:right w:val="none" w:sz="0" w:space="0" w:color="auto"/>
          </w:divBdr>
        </w:div>
        <w:div w:id="549850841">
          <w:marLeft w:val="0"/>
          <w:marRight w:val="0"/>
          <w:marTop w:val="0"/>
          <w:marBottom w:val="0"/>
          <w:divBdr>
            <w:top w:val="none" w:sz="0" w:space="0" w:color="auto"/>
            <w:left w:val="none" w:sz="0" w:space="0" w:color="auto"/>
            <w:bottom w:val="none" w:sz="0" w:space="0" w:color="auto"/>
            <w:right w:val="none" w:sz="0" w:space="0" w:color="auto"/>
          </w:divBdr>
        </w:div>
        <w:div w:id="1679119172">
          <w:marLeft w:val="0"/>
          <w:marRight w:val="0"/>
          <w:marTop w:val="0"/>
          <w:marBottom w:val="0"/>
          <w:divBdr>
            <w:top w:val="none" w:sz="0" w:space="0" w:color="auto"/>
            <w:left w:val="none" w:sz="0" w:space="0" w:color="auto"/>
            <w:bottom w:val="none" w:sz="0" w:space="0" w:color="auto"/>
            <w:right w:val="none" w:sz="0" w:space="0" w:color="auto"/>
          </w:divBdr>
        </w:div>
        <w:div w:id="1254434277">
          <w:marLeft w:val="0"/>
          <w:marRight w:val="0"/>
          <w:marTop w:val="0"/>
          <w:marBottom w:val="0"/>
          <w:divBdr>
            <w:top w:val="none" w:sz="0" w:space="0" w:color="auto"/>
            <w:left w:val="none" w:sz="0" w:space="0" w:color="auto"/>
            <w:bottom w:val="none" w:sz="0" w:space="0" w:color="auto"/>
            <w:right w:val="none" w:sz="0" w:space="0" w:color="auto"/>
          </w:divBdr>
        </w:div>
        <w:div w:id="2008510130">
          <w:marLeft w:val="0"/>
          <w:marRight w:val="0"/>
          <w:marTop w:val="0"/>
          <w:marBottom w:val="0"/>
          <w:divBdr>
            <w:top w:val="none" w:sz="0" w:space="0" w:color="auto"/>
            <w:left w:val="none" w:sz="0" w:space="0" w:color="auto"/>
            <w:bottom w:val="none" w:sz="0" w:space="0" w:color="auto"/>
            <w:right w:val="none" w:sz="0" w:space="0" w:color="auto"/>
          </w:divBdr>
        </w:div>
        <w:div w:id="464546444">
          <w:marLeft w:val="0"/>
          <w:marRight w:val="0"/>
          <w:marTop w:val="0"/>
          <w:marBottom w:val="0"/>
          <w:divBdr>
            <w:top w:val="none" w:sz="0" w:space="0" w:color="auto"/>
            <w:left w:val="none" w:sz="0" w:space="0" w:color="auto"/>
            <w:bottom w:val="none" w:sz="0" w:space="0" w:color="auto"/>
            <w:right w:val="none" w:sz="0" w:space="0" w:color="auto"/>
          </w:divBdr>
        </w:div>
        <w:div w:id="1556547247">
          <w:marLeft w:val="0"/>
          <w:marRight w:val="0"/>
          <w:marTop w:val="0"/>
          <w:marBottom w:val="0"/>
          <w:divBdr>
            <w:top w:val="none" w:sz="0" w:space="0" w:color="auto"/>
            <w:left w:val="none" w:sz="0" w:space="0" w:color="auto"/>
            <w:bottom w:val="none" w:sz="0" w:space="0" w:color="auto"/>
            <w:right w:val="none" w:sz="0" w:space="0" w:color="auto"/>
          </w:divBdr>
        </w:div>
        <w:div w:id="2106730184">
          <w:marLeft w:val="0"/>
          <w:marRight w:val="0"/>
          <w:marTop w:val="0"/>
          <w:marBottom w:val="0"/>
          <w:divBdr>
            <w:top w:val="none" w:sz="0" w:space="0" w:color="auto"/>
            <w:left w:val="none" w:sz="0" w:space="0" w:color="auto"/>
            <w:bottom w:val="none" w:sz="0" w:space="0" w:color="auto"/>
            <w:right w:val="none" w:sz="0" w:space="0" w:color="auto"/>
          </w:divBdr>
        </w:div>
        <w:div w:id="109398392">
          <w:marLeft w:val="0"/>
          <w:marRight w:val="0"/>
          <w:marTop w:val="0"/>
          <w:marBottom w:val="0"/>
          <w:divBdr>
            <w:top w:val="none" w:sz="0" w:space="0" w:color="auto"/>
            <w:left w:val="none" w:sz="0" w:space="0" w:color="auto"/>
            <w:bottom w:val="none" w:sz="0" w:space="0" w:color="auto"/>
            <w:right w:val="none" w:sz="0" w:space="0" w:color="auto"/>
          </w:divBdr>
        </w:div>
        <w:div w:id="1773428179">
          <w:marLeft w:val="0"/>
          <w:marRight w:val="0"/>
          <w:marTop w:val="0"/>
          <w:marBottom w:val="0"/>
          <w:divBdr>
            <w:top w:val="none" w:sz="0" w:space="0" w:color="auto"/>
            <w:left w:val="none" w:sz="0" w:space="0" w:color="auto"/>
            <w:bottom w:val="none" w:sz="0" w:space="0" w:color="auto"/>
            <w:right w:val="none" w:sz="0" w:space="0" w:color="auto"/>
          </w:divBdr>
        </w:div>
        <w:div w:id="856310500">
          <w:marLeft w:val="0"/>
          <w:marRight w:val="0"/>
          <w:marTop w:val="0"/>
          <w:marBottom w:val="0"/>
          <w:divBdr>
            <w:top w:val="none" w:sz="0" w:space="0" w:color="auto"/>
            <w:left w:val="none" w:sz="0" w:space="0" w:color="auto"/>
            <w:bottom w:val="none" w:sz="0" w:space="0" w:color="auto"/>
            <w:right w:val="none" w:sz="0" w:space="0" w:color="auto"/>
          </w:divBdr>
        </w:div>
        <w:div w:id="1232347740">
          <w:marLeft w:val="0"/>
          <w:marRight w:val="0"/>
          <w:marTop w:val="0"/>
          <w:marBottom w:val="0"/>
          <w:divBdr>
            <w:top w:val="none" w:sz="0" w:space="0" w:color="auto"/>
            <w:left w:val="none" w:sz="0" w:space="0" w:color="auto"/>
            <w:bottom w:val="none" w:sz="0" w:space="0" w:color="auto"/>
            <w:right w:val="none" w:sz="0" w:space="0" w:color="auto"/>
          </w:divBdr>
        </w:div>
        <w:div w:id="1015232708">
          <w:marLeft w:val="0"/>
          <w:marRight w:val="0"/>
          <w:marTop w:val="0"/>
          <w:marBottom w:val="0"/>
          <w:divBdr>
            <w:top w:val="none" w:sz="0" w:space="0" w:color="auto"/>
            <w:left w:val="none" w:sz="0" w:space="0" w:color="auto"/>
            <w:bottom w:val="none" w:sz="0" w:space="0" w:color="auto"/>
            <w:right w:val="none" w:sz="0" w:space="0" w:color="auto"/>
          </w:divBdr>
        </w:div>
        <w:div w:id="1474787643">
          <w:marLeft w:val="0"/>
          <w:marRight w:val="0"/>
          <w:marTop w:val="0"/>
          <w:marBottom w:val="0"/>
          <w:divBdr>
            <w:top w:val="none" w:sz="0" w:space="0" w:color="auto"/>
            <w:left w:val="none" w:sz="0" w:space="0" w:color="auto"/>
            <w:bottom w:val="none" w:sz="0" w:space="0" w:color="auto"/>
            <w:right w:val="none" w:sz="0" w:space="0" w:color="auto"/>
          </w:divBdr>
        </w:div>
        <w:div w:id="1279333335">
          <w:marLeft w:val="0"/>
          <w:marRight w:val="0"/>
          <w:marTop w:val="0"/>
          <w:marBottom w:val="0"/>
          <w:divBdr>
            <w:top w:val="none" w:sz="0" w:space="0" w:color="auto"/>
            <w:left w:val="none" w:sz="0" w:space="0" w:color="auto"/>
            <w:bottom w:val="none" w:sz="0" w:space="0" w:color="auto"/>
            <w:right w:val="none" w:sz="0" w:space="0" w:color="auto"/>
          </w:divBdr>
        </w:div>
        <w:div w:id="778647373">
          <w:marLeft w:val="0"/>
          <w:marRight w:val="0"/>
          <w:marTop w:val="0"/>
          <w:marBottom w:val="0"/>
          <w:divBdr>
            <w:top w:val="none" w:sz="0" w:space="0" w:color="auto"/>
            <w:left w:val="none" w:sz="0" w:space="0" w:color="auto"/>
            <w:bottom w:val="none" w:sz="0" w:space="0" w:color="auto"/>
            <w:right w:val="none" w:sz="0" w:space="0" w:color="auto"/>
          </w:divBdr>
        </w:div>
        <w:div w:id="560677958">
          <w:marLeft w:val="0"/>
          <w:marRight w:val="0"/>
          <w:marTop w:val="0"/>
          <w:marBottom w:val="0"/>
          <w:divBdr>
            <w:top w:val="none" w:sz="0" w:space="0" w:color="auto"/>
            <w:left w:val="none" w:sz="0" w:space="0" w:color="auto"/>
            <w:bottom w:val="none" w:sz="0" w:space="0" w:color="auto"/>
            <w:right w:val="none" w:sz="0" w:space="0" w:color="auto"/>
          </w:divBdr>
        </w:div>
        <w:div w:id="1181434364">
          <w:marLeft w:val="0"/>
          <w:marRight w:val="0"/>
          <w:marTop w:val="0"/>
          <w:marBottom w:val="0"/>
          <w:divBdr>
            <w:top w:val="none" w:sz="0" w:space="0" w:color="auto"/>
            <w:left w:val="none" w:sz="0" w:space="0" w:color="auto"/>
            <w:bottom w:val="none" w:sz="0" w:space="0" w:color="auto"/>
            <w:right w:val="none" w:sz="0" w:space="0" w:color="auto"/>
          </w:divBdr>
        </w:div>
        <w:div w:id="2038311146">
          <w:marLeft w:val="0"/>
          <w:marRight w:val="0"/>
          <w:marTop w:val="0"/>
          <w:marBottom w:val="0"/>
          <w:divBdr>
            <w:top w:val="none" w:sz="0" w:space="0" w:color="auto"/>
            <w:left w:val="none" w:sz="0" w:space="0" w:color="auto"/>
            <w:bottom w:val="none" w:sz="0" w:space="0" w:color="auto"/>
            <w:right w:val="none" w:sz="0" w:space="0" w:color="auto"/>
          </w:divBdr>
        </w:div>
        <w:div w:id="838470103">
          <w:marLeft w:val="0"/>
          <w:marRight w:val="0"/>
          <w:marTop w:val="0"/>
          <w:marBottom w:val="0"/>
          <w:divBdr>
            <w:top w:val="none" w:sz="0" w:space="0" w:color="auto"/>
            <w:left w:val="none" w:sz="0" w:space="0" w:color="auto"/>
            <w:bottom w:val="none" w:sz="0" w:space="0" w:color="auto"/>
            <w:right w:val="none" w:sz="0" w:space="0" w:color="auto"/>
          </w:divBdr>
        </w:div>
        <w:div w:id="1101606231">
          <w:marLeft w:val="0"/>
          <w:marRight w:val="0"/>
          <w:marTop w:val="0"/>
          <w:marBottom w:val="0"/>
          <w:divBdr>
            <w:top w:val="none" w:sz="0" w:space="0" w:color="auto"/>
            <w:left w:val="none" w:sz="0" w:space="0" w:color="auto"/>
            <w:bottom w:val="none" w:sz="0" w:space="0" w:color="auto"/>
            <w:right w:val="none" w:sz="0" w:space="0" w:color="auto"/>
          </w:divBdr>
        </w:div>
        <w:div w:id="899251849">
          <w:marLeft w:val="0"/>
          <w:marRight w:val="0"/>
          <w:marTop w:val="0"/>
          <w:marBottom w:val="0"/>
          <w:divBdr>
            <w:top w:val="none" w:sz="0" w:space="0" w:color="auto"/>
            <w:left w:val="none" w:sz="0" w:space="0" w:color="auto"/>
            <w:bottom w:val="none" w:sz="0" w:space="0" w:color="auto"/>
            <w:right w:val="none" w:sz="0" w:space="0" w:color="auto"/>
          </w:divBdr>
        </w:div>
        <w:div w:id="892347119">
          <w:marLeft w:val="0"/>
          <w:marRight w:val="0"/>
          <w:marTop w:val="0"/>
          <w:marBottom w:val="0"/>
          <w:divBdr>
            <w:top w:val="none" w:sz="0" w:space="0" w:color="auto"/>
            <w:left w:val="none" w:sz="0" w:space="0" w:color="auto"/>
            <w:bottom w:val="none" w:sz="0" w:space="0" w:color="auto"/>
            <w:right w:val="none" w:sz="0" w:space="0" w:color="auto"/>
          </w:divBdr>
        </w:div>
        <w:div w:id="1425607192">
          <w:marLeft w:val="0"/>
          <w:marRight w:val="0"/>
          <w:marTop w:val="0"/>
          <w:marBottom w:val="0"/>
          <w:divBdr>
            <w:top w:val="none" w:sz="0" w:space="0" w:color="auto"/>
            <w:left w:val="none" w:sz="0" w:space="0" w:color="auto"/>
            <w:bottom w:val="none" w:sz="0" w:space="0" w:color="auto"/>
            <w:right w:val="none" w:sz="0" w:space="0" w:color="auto"/>
          </w:divBdr>
        </w:div>
        <w:div w:id="1348218195">
          <w:marLeft w:val="0"/>
          <w:marRight w:val="0"/>
          <w:marTop w:val="0"/>
          <w:marBottom w:val="0"/>
          <w:divBdr>
            <w:top w:val="none" w:sz="0" w:space="0" w:color="auto"/>
            <w:left w:val="none" w:sz="0" w:space="0" w:color="auto"/>
            <w:bottom w:val="none" w:sz="0" w:space="0" w:color="auto"/>
            <w:right w:val="none" w:sz="0" w:space="0" w:color="auto"/>
          </w:divBdr>
        </w:div>
        <w:div w:id="1462725143">
          <w:marLeft w:val="0"/>
          <w:marRight w:val="0"/>
          <w:marTop w:val="0"/>
          <w:marBottom w:val="0"/>
          <w:divBdr>
            <w:top w:val="none" w:sz="0" w:space="0" w:color="auto"/>
            <w:left w:val="none" w:sz="0" w:space="0" w:color="auto"/>
            <w:bottom w:val="none" w:sz="0" w:space="0" w:color="auto"/>
            <w:right w:val="none" w:sz="0" w:space="0" w:color="auto"/>
          </w:divBdr>
        </w:div>
        <w:div w:id="1168206309">
          <w:marLeft w:val="0"/>
          <w:marRight w:val="0"/>
          <w:marTop w:val="0"/>
          <w:marBottom w:val="0"/>
          <w:divBdr>
            <w:top w:val="none" w:sz="0" w:space="0" w:color="auto"/>
            <w:left w:val="none" w:sz="0" w:space="0" w:color="auto"/>
            <w:bottom w:val="none" w:sz="0" w:space="0" w:color="auto"/>
            <w:right w:val="none" w:sz="0" w:space="0" w:color="auto"/>
          </w:divBdr>
        </w:div>
        <w:div w:id="1904217948">
          <w:marLeft w:val="0"/>
          <w:marRight w:val="0"/>
          <w:marTop w:val="0"/>
          <w:marBottom w:val="0"/>
          <w:divBdr>
            <w:top w:val="none" w:sz="0" w:space="0" w:color="auto"/>
            <w:left w:val="none" w:sz="0" w:space="0" w:color="auto"/>
            <w:bottom w:val="none" w:sz="0" w:space="0" w:color="auto"/>
            <w:right w:val="none" w:sz="0" w:space="0" w:color="auto"/>
          </w:divBdr>
        </w:div>
        <w:div w:id="133521657">
          <w:marLeft w:val="0"/>
          <w:marRight w:val="0"/>
          <w:marTop w:val="0"/>
          <w:marBottom w:val="0"/>
          <w:divBdr>
            <w:top w:val="none" w:sz="0" w:space="0" w:color="auto"/>
            <w:left w:val="none" w:sz="0" w:space="0" w:color="auto"/>
            <w:bottom w:val="none" w:sz="0" w:space="0" w:color="auto"/>
            <w:right w:val="none" w:sz="0" w:space="0" w:color="auto"/>
          </w:divBdr>
        </w:div>
        <w:div w:id="1087121110">
          <w:marLeft w:val="0"/>
          <w:marRight w:val="0"/>
          <w:marTop w:val="0"/>
          <w:marBottom w:val="0"/>
          <w:divBdr>
            <w:top w:val="none" w:sz="0" w:space="0" w:color="auto"/>
            <w:left w:val="none" w:sz="0" w:space="0" w:color="auto"/>
            <w:bottom w:val="none" w:sz="0" w:space="0" w:color="auto"/>
            <w:right w:val="none" w:sz="0" w:space="0" w:color="auto"/>
          </w:divBdr>
        </w:div>
        <w:div w:id="976839592">
          <w:marLeft w:val="0"/>
          <w:marRight w:val="0"/>
          <w:marTop w:val="0"/>
          <w:marBottom w:val="0"/>
          <w:divBdr>
            <w:top w:val="none" w:sz="0" w:space="0" w:color="auto"/>
            <w:left w:val="none" w:sz="0" w:space="0" w:color="auto"/>
            <w:bottom w:val="none" w:sz="0" w:space="0" w:color="auto"/>
            <w:right w:val="none" w:sz="0" w:space="0" w:color="auto"/>
          </w:divBdr>
        </w:div>
        <w:div w:id="364528288">
          <w:marLeft w:val="0"/>
          <w:marRight w:val="0"/>
          <w:marTop w:val="0"/>
          <w:marBottom w:val="0"/>
          <w:divBdr>
            <w:top w:val="none" w:sz="0" w:space="0" w:color="auto"/>
            <w:left w:val="none" w:sz="0" w:space="0" w:color="auto"/>
            <w:bottom w:val="none" w:sz="0" w:space="0" w:color="auto"/>
            <w:right w:val="none" w:sz="0" w:space="0" w:color="auto"/>
          </w:divBdr>
        </w:div>
        <w:div w:id="444278902">
          <w:marLeft w:val="0"/>
          <w:marRight w:val="0"/>
          <w:marTop w:val="0"/>
          <w:marBottom w:val="0"/>
          <w:divBdr>
            <w:top w:val="none" w:sz="0" w:space="0" w:color="auto"/>
            <w:left w:val="none" w:sz="0" w:space="0" w:color="auto"/>
            <w:bottom w:val="none" w:sz="0" w:space="0" w:color="auto"/>
            <w:right w:val="none" w:sz="0" w:space="0" w:color="auto"/>
          </w:divBdr>
        </w:div>
        <w:div w:id="2114519789">
          <w:marLeft w:val="0"/>
          <w:marRight w:val="0"/>
          <w:marTop w:val="0"/>
          <w:marBottom w:val="0"/>
          <w:divBdr>
            <w:top w:val="none" w:sz="0" w:space="0" w:color="auto"/>
            <w:left w:val="none" w:sz="0" w:space="0" w:color="auto"/>
            <w:bottom w:val="none" w:sz="0" w:space="0" w:color="auto"/>
            <w:right w:val="none" w:sz="0" w:space="0" w:color="auto"/>
          </w:divBdr>
        </w:div>
        <w:div w:id="1164008108">
          <w:marLeft w:val="0"/>
          <w:marRight w:val="0"/>
          <w:marTop w:val="0"/>
          <w:marBottom w:val="0"/>
          <w:divBdr>
            <w:top w:val="none" w:sz="0" w:space="0" w:color="auto"/>
            <w:left w:val="none" w:sz="0" w:space="0" w:color="auto"/>
            <w:bottom w:val="none" w:sz="0" w:space="0" w:color="auto"/>
            <w:right w:val="none" w:sz="0" w:space="0" w:color="auto"/>
          </w:divBdr>
        </w:div>
        <w:div w:id="2079857835">
          <w:marLeft w:val="0"/>
          <w:marRight w:val="0"/>
          <w:marTop w:val="0"/>
          <w:marBottom w:val="0"/>
          <w:divBdr>
            <w:top w:val="none" w:sz="0" w:space="0" w:color="auto"/>
            <w:left w:val="none" w:sz="0" w:space="0" w:color="auto"/>
            <w:bottom w:val="none" w:sz="0" w:space="0" w:color="auto"/>
            <w:right w:val="none" w:sz="0" w:space="0" w:color="auto"/>
          </w:divBdr>
        </w:div>
        <w:div w:id="1791630083">
          <w:marLeft w:val="0"/>
          <w:marRight w:val="0"/>
          <w:marTop w:val="0"/>
          <w:marBottom w:val="0"/>
          <w:divBdr>
            <w:top w:val="none" w:sz="0" w:space="0" w:color="auto"/>
            <w:left w:val="none" w:sz="0" w:space="0" w:color="auto"/>
            <w:bottom w:val="none" w:sz="0" w:space="0" w:color="auto"/>
            <w:right w:val="none" w:sz="0" w:space="0" w:color="auto"/>
          </w:divBdr>
        </w:div>
        <w:div w:id="1431123694">
          <w:marLeft w:val="0"/>
          <w:marRight w:val="0"/>
          <w:marTop w:val="0"/>
          <w:marBottom w:val="0"/>
          <w:divBdr>
            <w:top w:val="none" w:sz="0" w:space="0" w:color="auto"/>
            <w:left w:val="none" w:sz="0" w:space="0" w:color="auto"/>
            <w:bottom w:val="none" w:sz="0" w:space="0" w:color="auto"/>
            <w:right w:val="none" w:sz="0" w:space="0" w:color="auto"/>
          </w:divBdr>
        </w:div>
        <w:div w:id="1659919921">
          <w:marLeft w:val="0"/>
          <w:marRight w:val="0"/>
          <w:marTop w:val="0"/>
          <w:marBottom w:val="0"/>
          <w:divBdr>
            <w:top w:val="none" w:sz="0" w:space="0" w:color="auto"/>
            <w:left w:val="none" w:sz="0" w:space="0" w:color="auto"/>
            <w:bottom w:val="none" w:sz="0" w:space="0" w:color="auto"/>
            <w:right w:val="none" w:sz="0" w:space="0" w:color="auto"/>
          </w:divBdr>
        </w:div>
        <w:div w:id="633605366">
          <w:marLeft w:val="0"/>
          <w:marRight w:val="0"/>
          <w:marTop w:val="0"/>
          <w:marBottom w:val="0"/>
          <w:divBdr>
            <w:top w:val="none" w:sz="0" w:space="0" w:color="auto"/>
            <w:left w:val="none" w:sz="0" w:space="0" w:color="auto"/>
            <w:bottom w:val="none" w:sz="0" w:space="0" w:color="auto"/>
            <w:right w:val="none" w:sz="0" w:space="0" w:color="auto"/>
          </w:divBdr>
        </w:div>
        <w:div w:id="1387870497">
          <w:marLeft w:val="0"/>
          <w:marRight w:val="0"/>
          <w:marTop w:val="0"/>
          <w:marBottom w:val="0"/>
          <w:divBdr>
            <w:top w:val="none" w:sz="0" w:space="0" w:color="auto"/>
            <w:left w:val="none" w:sz="0" w:space="0" w:color="auto"/>
            <w:bottom w:val="none" w:sz="0" w:space="0" w:color="auto"/>
            <w:right w:val="none" w:sz="0" w:space="0" w:color="auto"/>
          </w:divBdr>
        </w:div>
        <w:div w:id="1259681703">
          <w:marLeft w:val="0"/>
          <w:marRight w:val="0"/>
          <w:marTop w:val="0"/>
          <w:marBottom w:val="0"/>
          <w:divBdr>
            <w:top w:val="none" w:sz="0" w:space="0" w:color="auto"/>
            <w:left w:val="none" w:sz="0" w:space="0" w:color="auto"/>
            <w:bottom w:val="none" w:sz="0" w:space="0" w:color="auto"/>
            <w:right w:val="none" w:sz="0" w:space="0" w:color="auto"/>
          </w:divBdr>
        </w:div>
        <w:div w:id="1557472546">
          <w:marLeft w:val="0"/>
          <w:marRight w:val="0"/>
          <w:marTop w:val="0"/>
          <w:marBottom w:val="0"/>
          <w:divBdr>
            <w:top w:val="none" w:sz="0" w:space="0" w:color="auto"/>
            <w:left w:val="none" w:sz="0" w:space="0" w:color="auto"/>
            <w:bottom w:val="none" w:sz="0" w:space="0" w:color="auto"/>
            <w:right w:val="none" w:sz="0" w:space="0" w:color="auto"/>
          </w:divBdr>
        </w:div>
        <w:div w:id="832338701">
          <w:marLeft w:val="0"/>
          <w:marRight w:val="0"/>
          <w:marTop w:val="0"/>
          <w:marBottom w:val="0"/>
          <w:divBdr>
            <w:top w:val="none" w:sz="0" w:space="0" w:color="auto"/>
            <w:left w:val="none" w:sz="0" w:space="0" w:color="auto"/>
            <w:bottom w:val="none" w:sz="0" w:space="0" w:color="auto"/>
            <w:right w:val="none" w:sz="0" w:space="0" w:color="auto"/>
          </w:divBdr>
        </w:div>
        <w:div w:id="2132240898">
          <w:marLeft w:val="0"/>
          <w:marRight w:val="0"/>
          <w:marTop w:val="0"/>
          <w:marBottom w:val="0"/>
          <w:divBdr>
            <w:top w:val="none" w:sz="0" w:space="0" w:color="auto"/>
            <w:left w:val="none" w:sz="0" w:space="0" w:color="auto"/>
            <w:bottom w:val="none" w:sz="0" w:space="0" w:color="auto"/>
            <w:right w:val="none" w:sz="0" w:space="0" w:color="auto"/>
          </w:divBdr>
        </w:div>
        <w:div w:id="1899197580">
          <w:marLeft w:val="0"/>
          <w:marRight w:val="0"/>
          <w:marTop w:val="0"/>
          <w:marBottom w:val="0"/>
          <w:divBdr>
            <w:top w:val="none" w:sz="0" w:space="0" w:color="auto"/>
            <w:left w:val="none" w:sz="0" w:space="0" w:color="auto"/>
            <w:bottom w:val="none" w:sz="0" w:space="0" w:color="auto"/>
            <w:right w:val="none" w:sz="0" w:space="0" w:color="auto"/>
          </w:divBdr>
        </w:div>
        <w:div w:id="1384409912">
          <w:marLeft w:val="0"/>
          <w:marRight w:val="0"/>
          <w:marTop w:val="0"/>
          <w:marBottom w:val="0"/>
          <w:divBdr>
            <w:top w:val="none" w:sz="0" w:space="0" w:color="auto"/>
            <w:left w:val="none" w:sz="0" w:space="0" w:color="auto"/>
            <w:bottom w:val="none" w:sz="0" w:space="0" w:color="auto"/>
            <w:right w:val="none" w:sz="0" w:space="0" w:color="auto"/>
          </w:divBdr>
        </w:div>
        <w:div w:id="2078823830">
          <w:marLeft w:val="0"/>
          <w:marRight w:val="0"/>
          <w:marTop w:val="0"/>
          <w:marBottom w:val="0"/>
          <w:divBdr>
            <w:top w:val="none" w:sz="0" w:space="0" w:color="auto"/>
            <w:left w:val="none" w:sz="0" w:space="0" w:color="auto"/>
            <w:bottom w:val="none" w:sz="0" w:space="0" w:color="auto"/>
            <w:right w:val="none" w:sz="0" w:space="0" w:color="auto"/>
          </w:divBdr>
        </w:div>
        <w:div w:id="251936699">
          <w:marLeft w:val="0"/>
          <w:marRight w:val="0"/>
          <w:marTop w:val="0"/>
          <w:marBottom w:val="0"/>
          <w:divBdr>
            <w:top w:val="none" w:sz="0" w:space="0" w:color="auto"/>
            <w:left w:val="none" w:sz="0" w:space="0" w:color="auto"/>
            <w:bottom w:val="none" w:sz="0" w:space="0" w:color="auto"/>
            <w:right w:val="none" w:sz="0" w:space="0" w:color="auto"/>
          </w:divBdr>
        </w:div>
        <w:div w:id="1996914012">
          <w:marLeft w:val="0"/>
          <w:marRight w:val="0"/>
          <w:marTop w:val="0"/>
          <w:marBottom w:val="0"/>
          <w:divBdr>
            <w:top w:val="none" w:sz="0" w:space="0" w:color="auto"/>
            <w:left w:val="none" w:sz="0" w:space="0" w:color="auto"/>
            <w:bottom w:val="none" w:sz="0" w:space="0" w:color="auto"/>
            <w:right w:val="none" w:sz="0" w:space="0" w:color="auto"/>
          </w:divBdr>
        </w:div>
        <w:div w:id="1804930064">
          <w:marLeft w:val="0"/>
          <w:marRight w:val="0"/>
          <w:marTop w:val="0"/>
          <w:marBottom w:val="0"/>
          <w:divBdr>
            <w:top w:val="none" w:sz="0" w:space="0" w:color="auto"/>
            <w:left w:val="none" w:sz="0" w:space="0" w:color="auto"/>
            <w:bottom w:val="none" w:sz="0" w:space="0" w:color="auto"/>
            <w:right w:val="none" w:sz="0" w:space="0" w:color="auto"/>
          </w:divBdr>
        </w:div>
        <w:div w:id="1466002201">
          <w:marLeft w:val="0"/>
          <w:marRight w:val="0"/>
          <w:marTop w:val="0"/>
          <w:marBottom w:val="0"/>
          <w:divBdr>
            <w:top w:val="none" w:sz="0" w:space="0" w:color="auto"/>
            <w:left w:val="none" w:sz="0" w:space="0" w:color="auto"/>
            <w:bottom w:val="none" w:sz="0" w:space="0" w:color="auto"/>
            <w:right w:val="none" w:sz="0" w:space="0" w:color="auto"/>
          </w:divBdr>
        </w:div>
        <w:div w:id="919413656">
          <w:marLeft w:val="0"/>
          <w:marRight w:val="0"/>
          <w:marTop w:val="0"/>
          <w:marBottom w:val="0"/>
          <w:divBdr>
            <w:top w:val="none" w:sz="0" w:space="0" w:color="auto"/>
            <w:left w:val="none" w:sz="0" w:space="0" w:color="auto"/>
            <w:bottom w:val="none" w:sz="0" w:space="0" w:color="auto"/>
            <w:right w:val="none" w:sz="0" w:space="0" w:color="auto"/>
          </w:divBdr>
        </w:div>
        <w:div w:id="121272413">
          <w:marLeft w:val="0"/>
          <w:marRight w:val="0"/>
          <w:marTop w:val="0"/>
          <w:marBottom w:val="0"/>
          <w:divBdr>
            <w:top w:val="none" w:sz="0" w:space="0" w:color="auto"/>
            <w:left w:val="none" w:sz="0" w:space="0" w:color="auto"/>
            <w:bottom w:val="none" w:sz="0" w:space="0" w:color="auto"/>
            <w:right w:val="none" w:sz="0" w:space="0" w:color="auto"/>
          </w:divBdr>
        </w:div>
        <w:div w:id="819077281">
          <w:marLeft w:val="0"/>
          <w:marRight w:val="0"/>
          <w:marTop w:val="0"/>
          <w:marBottom w:val="0"/>
          <w:divBdr>
            <w:top w:val="none" w:sz="0" w:space="0" w:color="auto"/>
            <w:left w:val="none" w:sz="0" w:space="0" w:color="auto"/>
            <w:bottom w:val="none" w:sz="0" w:space="0" w:color="auto"/>
            <w:right w:val="none" w:sz="0" w:space="0" w:color="auto"/>
          </w:divBdr>
        </w:div>
        <w:div w:id="1444031499">
          <w:marLeft w:val="0"/>
          <w:marRight w:val="0"/>
          <w:marTop w:val="0"/>
          <w:marBottom w:val="0"/>
          <w:divBdr>
            <w:top w:val="none" w:sz="0" w:space="0" w:color="auto"/>
            <w:left w:val="none" w:sz="0" w:space="0" w:color="auto"/>
            <w:bottom w:val="none" w:sz="0" w:space="0" w:color="auto"/>
            <w:right w:val="none" w:sz="0" w:space="0" w:color="auto"/>
          </w:divBdr>
        </w:div>
        <w:div w:id="812600937">
          <w:marLeft w:val="0"/>
          <w:marRight w:val="0"/>
          <w:marTop w:val="0"/>
          <w:marBottom w:val="0"/>
          <w:divBdr>
            <w:top w:val="none" w:sz="0" w:space="0" w:color="auto"/>
            <w:left w:val="none" w:sz="0" w:space="0" w:color="auto"/>
            <w:bottom w:val="none" w:sz="0" w:space="0" w:color="auto"/>
            <w:right w:val="none" w:sz="0" w:space="0" w:color="auto"/>
          </w:divBdr>
        </w:div>
        <w:div w:id="146212182">
          <w:marLeft w:val="0"/>
          <w:marRight w:val="0"/>
          <w:marTop w:val="0"/>
          <w:marBottom w:val="0"/>
          <w:divBdr>
            <w:top w:val="none" w:sz="0" w:space="0" w:color="auto"/>
            <w:left w:val="none" w:sz="0" w:space="0" w:color="auto"/>
            <w:bottom w:val="none" w:sz="0" w:space="0" w:color="auto"/>
            <w:right w:val="none" w:sz="0" w:space="0" w:color="auto"/>
          </w:divBdr>
        </w:div>
        <w:div w:id="459886097">
          <w:marLeft w:val="0"/>
          <w:marRight w:val="0"/>
          <w:marTop w:val="0"/>
          <w:marBottom w:val="0"/>
          <w:divBdr>
            <w:top w:val="none" w:sz="0" w:space="0" w:color="auto"/>
            <w:left w:val="none" w:sz="0" w:space="0" w:color="auto"/>
            <w:bottom w:val="none" w:sz="0" w:space="0" w:color="auto"/>
            <w:right w:val="none" w:sz="0" w:space="0" w:color="auto"/>
          </w:divBdr>
        </w:div>
        <w:div w:id="2118914252">
          <w:marLeft w:val="0"/>
          <w:marRight w:val="0"/>
          <w:marTop w:val="0"/>
          <w:marBottom w:val="0"/>
          <w:divBdr>
            <w:top w:val="none" w:sz="0" w:space="0" w:color="auto"/>
            <w:left w:val="none" w:sz="0" w:space="0" w:color="auto"/>
            <w:bottom w:val="none" w:sz="0" w:space="0" w:color="auto"/>
            <w:right w:val="none" w:sz="0" w:space="0" w:color="auto"/>
          </w:divBdr>
        </w:div>
        <w:div w:id="380905363">
          <w:marLeft w:val="0"/>
          <w:marRight w:val="0"/>
          <w:marTop w:val="0"/>
          <w:marBottom w:val="0"/>
          <w:divBdr>
            <w:top w:val="none" w:sz="0" w:space="0" w:color="auto"/>
            <w:left w:val="none" w:sz="0" w:space="0" w:color="auto"/>
            <w:bottom w:val="none" w:sz="0" w:space="0" w:color="auto"/>
            <w:right w:val="none" w:sz="0" w:space="0" w:color="auto"/>
          </w:divBdr>
        </w:div>
        <w:div w:id="1889485591">
          <w:marLeft w:val="0"/>
          <w:marRight w:val="0"/>
          <w:marTop w:val="0"/>
          <w:marBottom w:val="0"/>
          <w:divBdr>
            <w:top w:val="none" w:sz="0" w:space="0" w:color="auto"/>
            <w:left w:val="none" w:sz="0" w:space="0" w:color="auto"/>
            <w:bottom w:val="none" w:sz="0" w:space="0" w:color="auto"/>
            <w:right w:val="none" w:sz="0" w:space="0" w:color="auto"/>
          </w:divBdr>
        </w:div>
        <w:div w:id="17506253">
          <w:marLeft w:val="0"/>
          <w:marRight w:val="0"/>
          <w:marTop w:val="0"/>
          <w:marBottom w:val="0"/>
          <w:divBdr>
            <w:top w:val="none" w:sz="0" w:space="0" w:color="auto"/>
            <w:left w:val="none" w:sz="0" w:space="0" w:color="auto"/>
            <w:bottom w:val="none" w:sz="0" w:space="0" w:color="auto"/>
            <w:right w:val="none" w:sz="0" w:space="0" w:color="auto"/>
          </w:divBdr>
        </w:div>
        <w:div w:id="10575865">
          <w:marLeft w:val="0"/>
          <w:marRight w:val="0"/>
          <w:marTop w:val="0"/>
          <w:marBottom w:val="0"/>
          <w:divBdr>
            <w:top w:val="none" w:sz="0" w:space="0" w:color="auto"/>
            <w:left w:val="none" w:sz="0" w:space="0" w:color="auto"/>
            <w:bottom w:val="none" w:sz="0" w:space="0" w:color="auto"/>
            <w:right w:val="none" w:sz="0" w:space="0" w:color="auto"/>
          </w:divBdr>
        </w:div>
        <w:div w:id="2027168338">
          <w:marLeft w:val="0"/>
          <w:marRight w:val="0"/>
          <w:marTop w:val="0"/>
          <w:marBottom w:val="0"/>
          <w:divBdr>
            <w:top w:val="none" w:sz="0" w:space="0" w:color="auto"/>
            <w:left w:val="none" w:sz="0" w:space="0" w:color="auto"/>
            <w:bottom w:val="none" w:sz="0" w:space="0" w:color="auto"/>
            <w:right w:val="none" w:sz="0" w:space="0" w:color="auto"/>
          </w:divBdr>
        </w:div>
        <w:div w:id="992022952">
          <w:marLeft w:val="0"/>
          <w:marRight w:val="0"/>
          <w:marTop w:val="0"/>
          <w:marBottom w:val="0"/>
          <w:divBdr>
            <w:top w:val="none" w:sz="0" w:space="0" w:color="auto"/>
            <w:left w:val="none" w:sz="0" w:space="0" w:color="auto"/>
            <w:bottom w:val="none" w:sz="0" w:space="0" w:color="auto"/>
            <w:right w:val="none" w:sz="0" w:space="0" w:color="auto"/>
          </w:divBdr>
        </w:div>
        <w:div w:id="1497648733">
          <w:marLeft w:val="0"/>
          <w:marRight w:val="0"/>
          <w:marTop w:val="0"/>
          <w:marBottom w:val="0"/>
          <w:divBdr>
            <w:top w:val="none" w:sz="0" w:space="0" w:color="auto"/>
            <w:left w:val="none" w:sz="0" w:space="0" w:color="auto"/>
            <w:bottom w:val="none" w:sz="0" w:space="0" w:color="auto"/>
            <w:right w:val="none" w:sz="0" w:space="0" w:color="auto"/>
          </w:divBdr>
        </w:div>
        <w:div w:id="303589168">
          <w:marLeft w:val="0"/>
          <w:marRight w:val="0"/>
          <w:marTop w:val="0"/>
          <w:marBottom w:val="0"/>
          <w:divBdr>
            <w:top w:val="none" w:sz="0" w:space="0" w:color="auto"/>
            <w:left w:val="none" w:sz="0" w:space="0" w:color="auto"/>
            <w:bottom w:val="none" w:sz="0" w:space="0" w:color="auto"/>
            <w:right w:val="none" w:sz="0" w:space="0" w:color="auto"/>
          </w:divBdr>
        </w:div>
        <w:div w:id="1195189102">
          <w:marLeft w:val="0"/>
          <w:marRight w:val="0"/>
          <w:marTop w:val="0"/>
          <w:marBottom w:val="0"/>
          <w:divBdr>
            <w:top w:val="none" w:sz="0" w:space="0" w:color="auto"/>
            <w:left w:val="none" w:sz="0" w:space="0" w:color="auto"/>
            <w:bottom w:val="none" w:sz="0" w:space="0" w:color="auto"/>
            <w:right w:val="none" w:sz="0" w:space="0" w:color="auto"/>
          </w:divBdr>
        </w:div>
        <w:div w:id="1086149087">
          <w:marLeft w:val="0"/>
          <w:marRight w:val="0"/>
          <w:marTop w:val="0"/>
          <w:marBottom w:val="0"/>
          <w:divBdr>
            <w:top w:val="none" w:sz="0" w:space="0" w:color="auto"/>
            <w:left w:val="none" w:sz="0" w:space="0" w:color="auto"/>
            <w:bottom w:val="none" w:sz="0" w:space="0" w:color="auto"/>
            <w:right w:val="none" w:sz="0" w:space="0" w:color="auto"/>
          </w:divBdr>
        </w:div>
        <w:div w:id="1817598957">
          <w:marLeft w:val="0"/>
          <w:marRight w:val="0"/>
          <w:marTop w:val="0"/>
          <w:marBottom w:val="0"/>
          <w:divBdr>
            <w:top w:val="none" w:sz="0" w:space="0" w:color="auto"/>
            <w:left w:val="none" w:sz="0" w:space="0" w:color="auto"/>
            <w:bottom w:val="none" w:sz="0" w:space="0" w:color="auto"/>
            <w:right w:val="none" w:sz="0" w:space="0" w:color="auto"/>
          </w:divBdr>
        </w:div>
        <w:div w:id="2146268601">
          <w:marLeft w:val="0"/>
          <w:marRight w:val="0"/>
          <w:marTop w:val="0"/>
          <w:marBottom w:val="0"/>
          <w:divBdr>
            <w:top w:val="none" w:sz="0" w:space="0" w:color="auto"/>
            <w:left w:val="none" w:sz="0" w:space="0" w:color="auto"/>
            <w:bottom w:val="none" w:sz="0" w:space="0" w:color="auto"/>
            <w:right w:val="none" w:sz="0" w:space="0" w:color="auto"/>
          </w:divBdr>
        </w:div>
        <w:div w:id="2143648908">
          <w:marLeft w:val="0"/>
          <w:marRight w:val="0"/>
          <w:marTop w:val="0"/>
          <w:marBottom w:val="0"/>
          <w:divBdr>
            <w:top w:val="none" w:sz="0" w:space="0" w:color="auto"/>
            <w:left w:val="none" w:sz="0" w:space="0" w:color="auto"/>
            <w:bottom w:val="none" w:sz="0" w:space="0" w:color="auto"/>
            <w:right w:val="none" w:sz="0" w:space="0" w:color="auto"/>
          </w:divBdr>
        </w:div>
        <w:div w:id="1994869787">
          <w:marLeft w:val="0"/>
          <w:marRight w:val="0"/>
          <w:marTop w:val="0"/>
          <w:marBottom w:val="0"/>
          <w:divBdr>
            <w:top w:val="none" w:sz="0" w:space="0" w:color="auto"/>
            <w:left w:val="none" w:sz="0" w:space="0" w:color="auto"/>
            <w:bottom w:val="none" w:sz="0" w:space="0" w:color="auto"/>
            <w:right w:val="none" w:sz="0" w:space="0" w:color="auto"/>
          </w:divBdr>
        </w:div>
        <w:div w:id="1289125761">
          <w:marLeft w:val="0"/>
          <w:marRight w:val="0"/>
          <w:marTop w:val="0"/>
          <w:marBottom w:val="0"/>
          <w:divBdr>
            <w:top w:val="none" w:sz="0" w:space="0" w:color="auto"/>
            <w:left w:val="none" w:sz="0" w:space="0" w:color="auto"/>
            <w:bottom w:val="none" w:sz="0" w:space="0" w:color="auto"/>
            <w:right w:val="none" w:sz="0" w:space="0" w:color="auto"/>
          </w:divBdr>
        </w:div>
        <w:div w:id="413943583">
          <w:marLeft w:val="0"/>
          <w:marRight w:val="0"/>
          <w:marTop w:val="0"/>
          <w:marBottom w:val="0"/>
          <w:divBdr>
            <w:top w:val="none" w:sz="0" w:space="0" w:color="auto"/>
            <w:left w:val="none" w:sz="0" w:space="0" w:color="auto"/>
            <w:bottom w:val="none" w:sz="0" w:space="0" w:color="auto"/>
            <w:right w:val="none" w:sz="0" w:space="0" w:color="auto"/>
          </w:divBdr>
        </w:div>
        <w:div w:id="1245801624">
          <w:marLeft w:val="0"/>
          <w:marRight w:val="0"/>
          <w:marTop w:val="0"/>
          <w:marBottom w:val="0"/>
          <w:divBdr>
            <w:top w:val="none" w:sz="0" w:space="0" w:color="auto"/>
            <w:left w:val="none" w:sz="0" w:space="0" w:color="auto"/>
            <w:bottom w:val="none" w:sz="0" w:space="0" w:color="auto"/>
            <w:right w:val="none" w:sz="0" w:space="0" w:color="auto"/>
          </w:divBdr>
        </w:div>
        <w:div w:id="1458453082">
          <w:marLeft w:val="0"/>
          <w:marRight w:val="0"/>
          <w:marTop w:val="0"/>
          <w:marBottom w:val="0"/>
          <w:divBdr>
            <w:top w:val="none" w:sz="0" w:space="0" w:color="auto"/>
            <w:left w:val="none" w:sz="0" w:space="0" w:color="auto"/>
            <w:bottom w:val="none" w:sz="0" w:space="0" w:color="auto"/>
            <w:right w:val="none" w:sz="0" w:space="0" w:color="auto"/>
          </w:divBdr>
        </w:div>
        <w:div w:id="366222912">
          <w:marLeft w:val="0"/>
          <w:marRight w:val="0"/>
          <w:marTop w:val="0"/>
          <w:marBottom w:val="0"/>
          <w:divBdr>
            <w:top w:val="none" w:sz="0" w:space="0" w:color="auto"/>
            <w:left w:val="none" w:sz="0" w:space="0" w:color="auto"/>
            <w:bottom w:val="none" w:sz="0" w:space="0" w:color="auto"/>
            <w:right w:val="none" w:sz="0" w:space="0" w:color="auto"/>
          </w:divBdr>
        </w:div>
        <w:div w:id="2088571037">
          <w:marLeft w:val="0"/>
          <w:marRight w:val="0"/>
          <w:marTop w:val="0"/>
          <w:marBottom w:val="0"/>
          <w:divBdr>
            <w:top w:val="none" w:sz="0" w:space="0" w:color="auto"/>
            <w:left w:val="none" w:sz="0" w:space="0" w:color="auto"/>
            <w:bottom w:val="none" w:sz="0" w:space="0" w:color="auto"/>
            <w:right w:val="none" w:sz="0" w:space="0" w:color="auto"/>
          </w:divBdr>
        </w:div>
        <w:div w:id="1591037141">
          <w:marLeft w:val="0"/>
          <w:marRight w:val="0"/>
          <w:marTop w:val="0"/>
          <w:marBottom w:val="0"/>
          <w:divBdr>
            <w:top w:val="none" w:sz="0" w:space="0" w:color="auto"/>
            <w:left w:val="none" w:sz="0" w:space="0" w:color="auto"/>
            <w:bottom w:val="none" w:sz="0" w:space="0" w:color="auto"/>
            <w:right w:val="none" w:sz="0" w:space="0" w:color="auto"/>
          </w:divBdr>
        </w:div>
        <w:div w:id="632978740">
          <w:marLeft w:val="0"/>
          <w:marRight w:val="0"/>
          <w:marTop w:val="0"/>
          <w:marBottom w:val="0"/>
          <w:divBdr>
            <w:top w:val="none" w:sz="0" w:space="0" w:color="auto"/>
            <w:left w:val="none" w:sz="0" w:space="0" w:color="auto"/>
            <w:bottom w:val="none" w:sz="0" w:space="0" w:color="auto"/>
            <w:right w:val="none" w:sz="0" w:space="0" w:color="auto"/>
          </w:divBdr>
        </w:div>
        <w:div w:id="1537888830">
          <w:marLeft w:val="0"/>
          <w:marRight w:val="0"/>
          <w:marTop w:val="0"/>
          <w:marBottom w:val="0"/>
          <w:divBdr>
            <w:top w:val="none" w:sz="0" w:space="0" w:color="auto"/>
            <w:left w:val="none" w:sz="0" w:space="0" w:color="auto"/>
            <w:bottom w:val="none" w:sz="0" w:space="0" w:color="auto"/>
            <w:right w:val="none" w:sz="0" w:space="0" w:color="auto"/>
          </w:divBdr>
        </w:div>
        <w:div w:id="770668028">
          <w:marLeft w:val="0"/>
          <w:marRight w:val="0"/>
          <w:marTop w:val="0"/>
          <w:marBottom w:val="0"/>
          <w:divBdr>
            <w:top w:val="none" w:sz="0" w:space="0" w:color="auto"/>
            <w:left w:val="none" w:sz="0" w:space="0" w:color="auto"/>
            <w:bottom w:val="none" w:sz="0" w:space="0" w:color="auto"/>
            <w:right w:val="none" w:sz="0" w:space="0" w:color="auto"/>
          </w:divBdr>
        </w:div>
        <w:div w:id="1891073952">
          <w:marLeft w:val="0"/>
          <w:marRight w:val="0"/>
          <w:marTop w:val="0"/>
          <w:marBottom w:val="0"/>
          <w:divBdr>
            <w:top w:val="none" w:sz="0" w:space="0" w:color="auto"/>
            <w:left w:val="none" w:sz="0" w:space="0" w:color="auto"/>
            <w:bottom w:val="none" w:sz="0" w:space="0" w:color="auto"/>
            <w:right w:val="none" w:sz="0" w:space="0" w:color="auto"/>
          </w:divBdr>
        </w:div>
        <w:div w:id="253704266">
          <w:marLeft w:val="0"/>
          <w:marRight w:val="0"/>
          <w:marTop w:val="0"/>
          <w:marBottom w:val="0"/>
          <w:divBdr>
            <w:top w:val="none" w:sz="0" w:space="0" w:color="auto"/>
            <w:left w:val="none" w:sz="0" w:space="0" w:color="auto"/>
            <w:bottom w:val="none" w:sz="0" w:space="0" w:color="auto"/>
            <w:right w:val="none" w:sz="0" w:space="0" w:color="auto"/>
          </w:divBdr>
        </w:div>
        <w:div w:id="1471366446">
          <w:marLeft w:val="0"/>
          <w:marRight w:val="0"/>
          <w:marTop w:val="0"/>
          <w:marBottom w:val="0"/>
          <w:divBdr>
            <w:top w:val="none" w:sz="0" w:space="0" w:color="auto"/>
            <w:left w:val="none" w:sz="0" w:space="0" w:color="auto"/>
            <w:bottom w:val="none" w:sz="0" w:space="0" w:color="auto"/>
            <w:right w:val="none" w:sz="0" w:space="0" w:color="auto"/>
          </w:divBdr>
        </w:div>
        <w:div w:id="1257714711">
          <w:marLeft w:val="0"/>
          <w:marRight w:val="0"/>
          <w:marTop w:val="0"/>
          <w:marBottom w:val="0"/>
          <w:divBdr>
            <w:top w:val="none" w:sz="0" w:space="0" w:color="auto"/>
            <w:left w:val="none" w:sz="0" w:space="0" w:color="auto"/>
            <w:bottom w:val="none" w:sz="0" w:space="0" w:color="auto"/>
            <w:right w:val="none" w:sz="0" w:space="0" w:color="auto"/>
          </w:divBdr>
        </w:div>
        <w:div w:id="119306879">
          <w:marLeft w:val="0"/>
          <w:marRight w:val="0"/>
          <w:marTop w:val="0"/>
          <w:marBottom w:val="0"/>
          <w:divBdr>
            <w:top w:val="none" w:sz="0" w:space="0" w:color="auto"/>
            <w:left w:val="none" w:sz="0" w:space="0" w:color="auto"/>
            <w:bottom w:val="none" w:sz="0" w:space="0" w:color="auto"/>
            <w:right w:val="none" w:sz="0" w:space="0" w:color="auto"/>
          </w:divBdr>
        </w:div>
        <w:div w:id="1838424703">
          <w:marLeft w:val="0"/>
          <w:marRight w:val="0"/>
          <w:marTop w:val="0"/>
          <w:marBottom w:val="0"/>
          <w:divBdr>
            <w:top w:val="none" w:sz="0" w:space="0" w:color="auto"/>
            <w:left w:val="none" w:sz="0" w:space="0" w:color="auto"/>
            <w:bottom w:val="none" w:sz="0" w:space="0" w:color="auto"/>
            <w:right w:val="none" w:sz="0" w:space="0" w:color="auto"/>
          </w:divBdr>
        </w:div>
        <w:div w:id="1471365944">
          <w:marLeft w:val="0"/>
          <w:marRight w:val="0"/>
          <w:marTop w:val="0"/>
          <w:marBottom w:val="0"/>
          <w:divBdr>
            <w:top w:val="none" w:sz="0" w:space="0" w:color="auto"/>
            <w:left w:val="none" w:sz="0" w:space="0" w:color="auto"/>
            <w:bottom w:val="none" w:sz="0" w:space="0" w:color="auto"/>
            <w:right w:val="none" w:sz="0" w:space="0" w:color="auto"/>
          </w:divBdr>
        </w:div>
        <w:div w:id="1232041066">
          <w:marLeft w:val="0"/>
          <w:marRight w:val="0"/>
          <w:marTop w:val="0"/>
          <w:marBottom w:val="0"/>
          <w:divBdr>
            <w:top w:val="none" w:sz="0" w:space="0" w:color="auto"/>
            <w:left w:val="none" w:sz="0" w:space="0" w:color="auto"/>
            <w:bottom w:val="none" w:sz="0" w:space="0" w:color="auto"/>
            <w:right w:val="none" w:sz="0" w:space="0" w:color="auto"/>
          </w:divBdr>
        </w:div>
        <w:div w:id="1274551512">
          <w:marLeft w:val="0"/>
          <w:marRight w:val="0"/>
          <w:marTop w:val="0"/>
          <w:marBottom w:val="0"/>
          <w:divBdr>
            <w:top w:val="none" w:sz="0" w:space="0" w:color="auto"/>
            <w:left w:val="none" w:sz="0" w:space="0" w:color="auto"/>
            <w:bottom w:val="none" w:sz="0" w:space="0" w:color="auto"/>
            <w:right w:val="none" w:sz="0" w:space="0" w:color="auto"/>
          </w:divBdr>
        </w:div>
        <w:div w:id="202713028">
          <w:marLeft w:val="0"/>
          <w:marRight w:val="0"/>
          <w:marTop w:val="0"/>
          <w:marBottom w:val="0"/>
          <w:divBdr>
            <w:top w:val="none" w:sz="0" w:space="0" w:color="auto"/>
            <w:left w:val="none" w:sz="0" w:space="0" w:color="auto"/>
            <w:bottom w:val="none" w:sz="0" w:space="0" w:color="auto"/>
            <w:right w:val="none" w:sz="0" w:space="0" w:color="auto"/>
          </w:divBdr>
        </w:div>
        <w:div w:id="999818172">
          <w:marLeft w:val="0"/>
          <w:marRight w:val="0"/>
          <w:marTop w:val="0"/>
          <w:marBottom w:val="0"/>
          <w:divBdr>
            <w:top w:val="none" w:sz="0" w:space="0" w:color="auto"/>
            <w:left w:val="none" w:sz="0" w:space="0" w:color="auto"/>
            <w:bottom w:val="none" w:sz="0" w:space="0" w:color="auto"/>
            <w:right w:val="none" w:sz="0" w:space="0" w:color="auto"/>
          </w:divBdr>
        </w:div>
        <w:div w:id="2147114139">
          <w:marLeft w:val="0"/>
          <w:marRight w:val="0"/>
          <w:marTop w:val="0"/>
          <w:marBottom w:val="0"/>
          <w:divBdr>
            <w:top w:val="none" w:sz="0" w:space="0" w:color="auto"/>
            <w:left w:val="none" w:sz="0" w:space="0" w:color="auto"/>
            <w:bottom w:val="none" w:sz="0" w:space="0" w:color="auto"/>
            <w:right w:val="none" w:sz="0" w:space="0" w:color="auto"/>
          </w:divBdr>
        </w:div>
        <w:div w:id="1572543644">
          <w:marLeft w:val="0"/>
          <w:marRight w:val="0"/>
          <w:marTop w:val="0"/>
          <w:marBottom w:val="0"/>
          <w:divBdr>
            <w:top w:val="none" w:sz="0" w:space="0" w:color="auto"/>
            <w:left w:val="none" w:sz="0" w:space="0" w:color="auto"/>
            <w:bottom w:val="none" w:sz="0" w:space="0" w:color="auto"/>
            <w:right w:val="none" w:sz="0" w:space="0" w:color="auto"/>
          </w:divBdr>
        </w:div>
        <w:div w:id="2119642558">
          <w:marLeft w:val="0"/>
          <w:marRight w:val="0"/>
          <w:marTop w:val="0"/>
          <w:marBottom w:val="0"/>
          <w:divBdr>
            <w:top w:val="none" w:sz="0" w:space="0" w:color="auto"/>
            <w:left w:val="none" w:sz="0" w:space="0" w:color="auto"/>
            <w:bottom w:val="none" w:sz="0" w:space="0" w:color="auto"/>
            <w:right w:val="none" w:sz="0" w:space="0" w:color="auto"/>
          </w:divBdr>
        </w:div>
        <w:div w:id="1776249326">
          <w:marLeft w:val="0"/>
          <w:marRight w:val="0"/>
          <w:marTop w:val="0"/>
          <w:marBottom w:val="0"/>
          <w:divBdr>
            <w:top w:val="none" w:sz="0" w:space="0" w:color="auto"/>
            <w:left w:val="none" w:sz="0" w:space="0" w:color="auto"/>
            <w:bottom w:val="none" w:sz="0" w:space="0" w:color="auto"/>
            <w:right w:val="none" w:sz="0" w:space="0" w:color="auto"/>
          </w:divBdr>
        </w:div>
        <w:div w:id="1851672975">
          <w:marLeft w:val="0"/>
          <w:marRight w:val="0"/>
          <w:marTop w:val="0"/>
          <w:marBottom w:val="0"/>
          <w:divBdr>
            <w:top w:val="none" w:sz="0" w:space="0" w:color="auto"/>
            <w:left w:val="none" w:sz="0" w:space="0" w:color="auto"/>
            <w:bottom w:val="none" w:sz="0" w:space="0" w:color="auto"/>
            <w:right w:val="none" w:sz="0" w:space="0" w:color="auto"/>
          </w:divBdr>
        </w:div>
        <w:div w:id="250622397">
          <w:marLeft w:val="0"/>
          <w:marRight w:val="0"/>
          <w:marTop w:val="0"/>
          <w:marBottom w:val="0"/>
          <w:divBdr>
            <w:top w:val="none" w:sz="0" w:space="0" w:color="auto"/>
            <w:left w:val="none" w:sz="0" w:space="0" w:color="auto"/>
            <w:bottom w:val="none" w:sz="0" w:space="0" w:color="auto"/>
            <w:right w:val="none" w:sz="0" w:space="0" w:color="auto"/>
          </w:divBdr>
        </w:div>
        <w:div w:id="760688162">
          <w:marLeft w:val="0"/>
          <w:marRight w:val="0"/>
          <w:marTop w:val="0"/>
          <w:marBottom w:val="0"/>
          <w:divBdr>
            <w:top w:val="none" w:sz="0" w:space="0" w:color="auto"/>
            <w:left w:val="none" w:sz="0" w:space="0" w:color="auto"/>
            <w:bottom w:val="none" w:sz="0" w:space="0" w:color="auto"/>
            <w:right w:val="none" w:sz="0" w:space="0" w:color="auto"/>
          </w:divBdr>
        </w:div>
        <w:div w:id="1495682844">
          <w:marLeft w:val="0"/>
          <w:marRight w:val="0"/>
          <w:marTop w:val="0"/>
          <w:marBottom w:val="0"/>
          <w:divBdr>
            <w:top w:val="none" w:sz="0" w:space="0" w:color="auto"/>
            <w:left w:val="none" w:sz="0" w:space="0" w:color="auto"/>
            <w:bottom w:val="none" w:sz="0" w:space="0" w:color="auto"/>
            <w:right w:val="none" w:sz="0" w:space="0" w:color="auto"/>
          </w:divBdr>
        </w:div>
        <w:div w:id="1994093438">
          <w:marLeft w:val="0"/>
          <w:marRight w:val="0"/>
          <w:marTop w:val="0"/>
          <w:marBottom w:val="0"/>
          <w:divBdr>
            <w:top w:val="none" w:sz="0" w:space="0" w:color="auto"/>
            <w:left w:val="none" w:sz="0" w:space="0" w:color="auto"/>
            <w:bottom w:val="none" w:sz="0" w:space="0" w:color="auto"/>
            <w:right w:val="none" w:sz="0" w:space="0" w:color="auto"/>
          </w:divBdr>
        </w:div>
        <w:div w:id="1675376198">
          <w:marLeft w:val="0"/>
          <w:marRight w:val="0"/>
          <w:marTop w:val="0"/>
          <w:marBottom w:val="0"/>
          <w:divBdr>
            <w:top w:val="none" w:sz="0" w:space="0" w:color="auto"/>
            <w:left w:val="none" w:sz="0" w:space="0" w:color="auto"/>
            <w:bottom w:val="none" w:sz="0" w:space="0" w:color="auto"/>
            <w:right w:val="none" w:sz="0" w:space="0" w:color="auto"/>
          </w:divBdr>
        </w:div>
        <w:div w:id="580919006">
          <w:marLeft w:val="0"/>
          <w:marRight w:val="0"/>
          <w:marTop w:val="0"/>
          <w:marBottom w:val="0"/>
          <w:divBdr>
            <w:top w:val="none" w:sz="0" w:space="0" w:color="auto"/>
            <w:left w:val="none" w:sz="0" w:space="0" w:color="auto"/>
            <w:bottom w:val="none" w:sz="0" w:space="0" w:color="auto"/>
            <w:right w:val="none" w:sz="0" w:space="0" w:color="auto"/>
          </w:divBdr>
        </w:div>
        <w:div w:id="896741739">
          <w:marLeft w:val="0"/>
          <w:marRight w:val="0"/>
          <w:marTop w:val="0"/>
          <w:marBottom w:val="0"/>
          <w:divBdr>
            <w:top w:val="none" w:sz="0" w:space="0" w:color="auto"/>
            <w:left w:val="none" w:sz="0" w:space="0" w:color="auto"/>
            <w:bottom w:val="none" w:sz="0" w:space="0" w:color="auto"/>
            <w:right w:val="none" w:sz="0" w:space="0" w:color="auto"/>
          </w:divBdr>
        </w:div>
        <w:div w:id="685404545">
          <w:marLeft w:val="0"/>
          <w:marRight w:val="0"/>
          <w:marTop w:val="0"/>
          <w:marBottom w:val="0"/>
          <w:divBdr>
            <w:top w:val="none" w:sz="0" w:space="0" w:color="auto"/>
            <w:left w:val="none" w:sz="0" w:space="0" w:color="auto"/>
            <w:bottom w:val="none" w:sz="0" w:space="0" w:color="auto"/>
            <w:right w:val="none" w:sz="0" w:space="0" w:color="auto"/>
          </w:divBdr>
        </w:div>
        <w:div w:id="1626351667">
          <w:marLeft w:val="0"/>
          <w:marRight w:val="0"/>
          <w:marTop w:val="0"/>
          <w:marBottom w:val="0"/>
          <w:divBdr>
            <w:top w:val="none" w:sz="0" w:space="0" w:color="auto"/>
            <w:left w:val="none" w:sz="0" w:space="0" w:color="auto"/>
            <w:bottom w:val="none" w:sz="0" w:space="0" w:color="auto"/>
            <w:right w:val="none" w:sz="0" w:space="0" w:color="auto"/>
          </w:divBdr>
        </w:div>
        <w:div w:id="1491172900">
          <w:marLeft w:val="0"/>
          <w:marRight w:val="0"/>
          <w:marTop w:val="0"/>
          <w:marBottom w:val="0"/>
          <w:divBdr>
            <w:top w:val="none" w:sz="0" w:space="0" w:color="auto"/>
            <w:left w:val="none" w:sz="0" w:space="0" w:color="auto"/>
            <w:bottom w:val="none" w:sz="0" w:space="0" w:color="auto"/>
            <w:right w:val="none" w:sz="0" w:space="0" w:color="auto"/>
          </w:divBdr>
        </w:div>
        <w:div w:id="1779376640">
          <w:marLeft w:val="0"/>
          <w:marRight w:val="0"/>
          <w:marTop w:val="0"/>
          <w:marBottom w:val="0"/>
          <w:divBdr>
            <w:top w:val="none" w:sz="0" w:space="0" w:color="auto"/>
            <w:left w:val="none" w:sz="0" w:space="0" w:color="auto"/>
            <w:bottom w:val="none" w:sz="0" w:space="0" w:color="auto"/>
            <w:right w:val="none" w:sz="0" w:space="0" w:color="auto"/>
          </w:divBdr>
        </w:div>
        <w:div w:id="1556233691">
          <w:marLeft w:val="0"/>
          <w:marRight w:val="0"/>
          <w:marTop w:val="0"/>
          <w:marBottom w:val="0"/>
          <w:divBdr>
            <w:top w:val="none" w:sz="0" w:space="0" w:color="auto"/>
            <w:left w:val="none" w:sz="0" w:space="0" w:color="auto"/>
            <w:bottom w:val="none" w:sz="0" w:space="0" w:color="auto"/>
            <w:right w:val="none" w:sz="0" w:space="0" w:color="auto"/>
          </w:divBdr>
        </w:div>
        <w:div w:id="1280797627">
          <w:marLeft w:val="0"/>
          <w:marRight w:val="0"/>
          <w:marTop w:val="0"/>
          <w:marBottom w:val="0"/>
          <w:divBdr>
            <w:top w:val="none" w:sz="0" w:space="0" w:color="auto"/>
            <w:left w:val="none" w:sz="0" w:space="0" w:color="auto"/>
            <w:bottom w:val="none" w:sz="0" w:space="0" w:color="auto"/>
            <w:right w:val="none" w:sz="0" w:space="0" w:color="auto"/>
          </w:divBdr>
        </w:div>
        <w:div w:id="363947465">
          <w:marLeft w:val="0"/>
          <w:marRight w:val="0"/>
          <w:marTop w:val="0"/>
          <w:marBottom w:val="0"/>
          <w:divBdr>
            <w:top w:val="none" w:sz="0" w:space="0" w:color="auto"/>
            <w:left w:val="none" w:sz="0" w:space="0" w:color="auto"/>
            <w:bottom w:val="none" w:sz="0" w:space="0" w:color="auto"/>
            <w:right w:val="none" w:sz="0" w:space="0" w:color="auto"/>
          </w:divBdr>
        </w:div>
        <w:div w:id="1849977939">
          <w:marLeft w:val="0"/>
          <w:marRight w:val="0"/>
          <w:marTop w:val="0"/>
          <w:marBottom w:val="0"/>
          <w:divBdr>
            <w:top w:val="none" w:sz="0" w:space="0" w:color="auto"/>
            <w:left w:val="none" w:sz="0" w:space="0" w:color="auto"/>
            <w:bottom w:val="none" w:sz="0" w:space="0" w:color="auto"/>
            <w:right w:val="none" w:sz="0" w:space="0" w:color="auto"/>
          </w:divBdr>
        </w:div>
        <w:div w:id="2122187511">
          <w:marLeft w:val="0"/>
          <w:marRight w:val="0"/>
          <w:marTop w:val="0"/>
          <w:marBottom w:val="0"/>
          <w:divBdr>
            <w:top w:val="none" w:sz="0" w:space="0" w:color="auto"/>
            <w:left w:val="none" w:sz="0" w:space="0" w:color="auto"/>
            <w:bottom w:val="none" w:sz="0" w:space="0" w:color="auto"/>
            <w:right w:val="none" w:sz="0" w:space="0" w:color="auto"/>
          </w:divBdr>
        </w:div>
        <w:div w:id="1173178334">
          <w:marLeft w:val="0"/>
          <w:marRight w:val="0"/>
          <w:marTop w:val="0"/>
          <w:marBottom w:val="0"/>
          <w:divBdr>
            <w:top w:val="none" w:sz="0" w:space="0" w:color="auto"/>
            <w:left w:val="none" w:sz="0" w:space="0" w:color="auto"/>
            <w:bottom w:val="none" w:sz="0" w:space="0" w:color="auto"/>
            <w:right w:val="none" w:sz="0" w:space="0" w:color="auto"/>
          </w:divBdr>
        </w:div>
        <w:div w:id="2035841192">
          <w:marLeft w:val="0"/>
          <w:marRight w:val="0"/>
          <w:marTop w:val="0"/>
          <w:marBottom w:val="0"/>
          <w:divBdr>
            <w:top w:val="none" w:sz="0" w:space="0" w:color="auto"/>
            <w:left w:val="none" w:sz="0" w:space="0" w:color="auto"/>
            <w:bottom w:val="none" w:sz="0" w:space="0" w:color="auto"/>
            <w:right w:val="none" w:sz="0" w:space="0" w:color="auto"/>
          </w:divBdr>
        </w:div>
        <w:div w:id="2119982062">
          <w:marLeft w:val="0"/>
          <w:marRight w:val="0"/>
          <w:marTop w:val="0"/>
          <w:marBottom w:val="0"/>
          <w:divBdr>
            <w:top w:val="none" w:sz="0" w:space="0" w:color="auto"/>
            <w:left w:val="none" w:sz="0" w:space="0" w:color="auto"/>
            <w:bottom w:val="none" w:sz="0" w:space="0" w:color="auto"/>
            <w:right w:val="none" w:sz="0" w:space="0" w:color="auto"/>
          </w:divBdr>
        </w:div>
        <w:div w:id="1442724373">
          <w:marLeft w:val="0"/>
          <w:marRight w:val="0"/>
          <w:marTop w:val="0"/>
          <w:marBottom w:val="0"/>
          <w:divBdr>
            <w:top w:val="none" w:sz="0" w:space="0" w:color="auto"/>
            <w:left w:val="none" w:sz="0" w:space="0" w:color="auto"/>
            <w:bottom w:val="none" w:sz="0" w:space="0" w:color="auto"/>
            <w:right w:val="none" w:sz="0" w:space="0" w:color="auto"/>
          </w:divBdr>
        </w:div>
        <w:div w:id="1559826362">
          <w:marLeft w:val="0"/>
          <w:marRight w:val="0"/>
          <w:marTop w:val="0"/>
          <w:marBottom w:val="0"/>
          <w:divBdr>
            <w:top w:val="none" w:sz="0" w:space="0" w:color="auto"/>
            <w:left w:val="none" w:sz="0" w:space="0" w:color="auto"/>
            <w:bottom w:val="none" w:sz="0" w:space="0" w:color="auto"/>
            <w:right w:val="none" w:sz="0" w:space="0" w:color="auto"/>
          </w:divBdr>
        </w:div>
        <w:div w:id="1027827124">
          <w:marLeft w:val="0"/>
          <w:marRight w:val="0"/>
          <w:marTop w:val="0"/>
          <w:marBottom w:val="0"/>
          <w:divBdr>
            <w:top w:val="none" w:sz="0" w:space="0" w:color="auto"/>
            <w:left w:val="none" w:sz="0" w:space="0" w:color="auto"/>
            <w:bottom w:val="none" w:sz="0" w:space="0" w:color="auto"/>
            <w:right w:val="none" w:sz="0" w:space="0" w:color="auto"/>
          </w:divBdr>
        </w:div>
        <w:div w:id="751778907">
          <w:marLeft w:val="0"/>
          <w:marRight w:val="0"/>
          <w:marTop w:val="0"/>
          <w:marBottom w:val="0"/>
          <w:divBdr>
            <w:top w:val="none" w:sz="0" w:space="0" w:color="auto"/>
            <w:left w:val="none" w:sz="0" w:space="0" w:color="auto"/>
            <w:bottom w:val="none" w:sz="0" w:space="0" w:color="auto"/>
            <w:right w:val="none" w:sz="0" w:space="0" w:color="auto"/>
          </w:divBdr>
        </w:div>
        <w:div w:id="2104765009">
          <w:marLeft w:val="0"/>
          <w:marRight w:val="0"/>
          <w:marTop w:val="0"/>
          <w:marBottom w:val="0"/>
          <w:divBdr>
            <w:top w:val="none" w:sz="0" w:space="0" w:color="auto"/>
            <w:left w:val="none" w:sz="0" w:space="0" w:color="auto"/>
            <w:bottom w:val="none" w:sz="0" w:space="0" w:color="auto"/>
            <w:right w:val="none" w:sz="0" w:space="0" w:color="auto"/>
          </w:divBdr>
        </w:div>
        <w:div w:id="174152199">
          <w:marLeft w:val="0"/>
          <w:marRight w:val="0"/>
          <w:marTop w:val="0"/>
          <w:marBottom w:val="0"/>
          <w:divBdr>
            <w:top w:val="none" w:sz="0" w:space="0" w:color="auto"/>
            <w:left w:val="none" w:sz="0" w:space="0" w:color="auto"/>
            <w:bottom w:val="none" w:sz="0" w:space="0" w:color="auto"/>
            <w:right w:val="none" w:sz="0" w:space="0" w:color="auto"/>
          </w:divBdr>
        </w:div>
        <w:div w:id="1483278148">
          <w:marLeft w:val="0"/>
          <w:marRight w:val="0"/>
          <w:marTop w:val="0"/>
          <w:marBottom w:val="0"/>
          <w:divBdr>
            <w:top w:val="none" w:sz="0" w:space="0" w:color="auto"/>
            <w:left w:val="none" w:sz="0" w:space="0" w:color="auto"/>
            <w:bottom w:val="none" w:sz="0" w:space="0" w:color="auto"/>
            <w:right w:val="none" w:sz="0" w:space="0" w:color="auto"/>
          </w:divBdr>
        </w:div>
        <w:div w:id="1418013480">
          <w:marLeft w:val="0"/>
          <w:marRight w:val="0"/>
          <w:marTop w:val="0"/>
          <w:marBottom w:val="0"/>
          <w:divBdr>
            <w:top w:val="none" w:sz="0" w:space="0" w:color="auto"/>
            <w:left w:val="none" w:sz="0" w:space="0" w:color="auto"/>
            <w:bottom w:val="none" w:sz="0" w:space="0" w:color="auto"/>
            <w:right w:val="none" w:sz="0" w:space="0" w:color="auto"/>
          </w:divBdr>
        </w:div>
        <w:div w:id="508297877">
          <w:marLeft w:val="0"/>
          <w:marRight w:val="0"/>
          <w:marTop w:val="0"/>
          <w:marBottom w:val="0"/>
          <w:divBdr>
            <w:top w:val="none" w:sz="0" w:space="0" w:color="auto"/>
            <w:left w:val="none" w:sz="0" w:space="0" w:color="auto"/>
            <w:bottom w:val="none" w:sz="0" w:space="0" w:color="auto"/>
            <w:right w:val="none" w:sz="0" w:space="0" w:color="auto"/>
          </w:divBdr>
        </w:div>
        <w:div w:id="176580975">
          <w:marLeft w:val="0"/>
          <w:marRight w:val="0"/>
          <w:marTop w:val="0"/>
          <w:marBottom w:val="0"/>
          <w:divBdr>
            <w:top w:val="none" w:sz="0" w:space="0" w:color="auto"/>
            <w:left w:val="none" w:sz="0" w:space="0" w:color="auto"/>
            <w:bottom w:val="none" w:sz="0" w:space="0" w:color="auto"/>
            <w:right w:val="none" w:sz="0" w:space="0" w:color="auto"/>
          </w:divBdr>
        </w:div>
        <w:div w:id="1993243672">
          <w:marLeft w:val="0"/>
          <w:marRight w:val="0"/>
          <w:marTop w:val="0"/>
          <w:marBottom w:val="0"/>
          <w:divBdr>
            <w:top w:val="none" w:sz="0" w:space="0" w:color="auto"/>
            <w:left w:val="none" w:sz="0" w:space="0" w:color="auto"/>
            <w:bottom w:val="none" w:sz="0" w:space="0" w:color="auto"/>
            <w:right w:val="none" w:sz="0" w:space="0" w:color="auto"/>
          </w:divBdr>
        </w:div>
        <w:div w:id="1339388806">
          <w:marLeft w:val="0"/>
          <w:marRight w:val="0"/>
          <w:marTop w:val="0"/>
          <w:marBottom w:val="0"/>
          <w:divBdr>
            <w:top w:val="none" w:sz="0" w:space="0" w:color="auto"/>
            <w:left w:val="none" w:sz="0" w:space="0" w:color="auto"/>
            <w:bottom w:val="none" w:sz="0" w:space="0" w:color="auto"/>
            <w:right w:val="none" w:sz="0" w:space="0" w:color="auto"/>
          </w:divBdr>
        </w:div>
        <w:div w:id="299269112">
          <w:marLeft w:val="0"/>
          <w:marRight w:val="0"/>
          <w:marTop w:val="0"/>
          <w:marBottom w:val="0"/>
          <w:divBdr>
            <w:top w:val="none" w:sz="0" w:space="0" w:color="auto"/>
            <w:left w:val="none" w:sz="0" w:space="0" w:color="auto"/>
            <w:bottom w:val="none" w:sz="0" w:space="0" w:color="auto"/>
            <w:right w:val="none" w:sz="0" w:space="0" w:color="auto"/>
          </w:divBdr>
        </w:div>
        <w:div w:id="135270041">
          <w:marLeft w:val="0"/>
          <w:marRight w:val="0"/>
          <w:marTop w:val="0"/>
          <w:marBottom w:val="0"/>
          <w:divBdr>
            <w:top w:val="none" w:sz="0" w:space="0" w:color="auto"/>
            <w:left w:val="none" w:sz="0" w:space="0" w:color="auto"/>
            <w:bottom w:val="none" w:sz="0" w:space="0" w:color="auto"/>
            <w:right w:val="none" w:sz="0" w:space="0" w:color="auto"/>
          </w:divBdr>
        </w:div>
        <w:div w:id="314841258">
          <w:marLeft w:val="0"/>
          <w:marRight w:val="0"/>
          <w:marTop w:val="0"/>
          <w:marBottom w:val="0"/>
          <w:divBdr>
            <w:top w:val="none" w:sz="0" w:space="0" w:color="auto"/>
            <w:left w:val="none" w:sz="0" w:space="0" w:color="auto"/>
            <w:bottom w:val="none" w:sz="0" w:space="0" w:color="auto"/>
            <w:right w:val="none" w:sz="0" w:space="0" w:color="auto"/>
          </w:divBdr>
        </w:div>
        <w:div w:id="898244760">
          <w:marLeft w:val="0"/>
          <w:marRight w:val="0"/>
          <w:marTop w:val="0"/>
          <w:marBottom w:val="0"/>
          <w:divBdr>
            <w:top w:val="none" w:sz="0" w:space="0" w:color="auto"/>
            <w:left w:val="none" w:sz="0" w:space="0" w:color="auto"/>
            <w:bottom w:val="none" w:sz="0" w:space="0" w:color="auto"/>
            <w:right w:val="none" w:sz="0" w:space="0" w:color="auto"/>
          </w:divBdr>
        </w:div>
        <w:div w:id="1258758185">
          <w:marLeft w:val="0"/>
          <w:marRight w:val="0"/>
          <w:marTop w:val="0"/>
          <w:marBottom w:val="0"/>
          <w:divBdr>
            <w:top w:val="none" w:sz="0" w:space="0" w:color="auto"/>
            <w:left w:val="none" w:sz="0" w:space="0" w:color="auto"/>
            <w:bottom w:val="none" w:sz="0" w:space="0" w:color="auto"/>
            <w:right w:val="none" w:sz="0" w:space="0" w:color="auto"/>
          </w:divBdr>
        </w:div>
        <w:div w:id="1085228410">
          <w:marLeft w:val="0"/>
          <w:marRight w:val="0"/>
          <w:marTop w:val="0"/>
          <w:marBottom w:val="0"/>
          <w:divBdr>
            <w:top w:val="none" w:sz="0" w:space="0" w:color="auto"/>
            <w:left w:val="none" w:sz="0" w:space="0" w:color="auto"/>
            <w:bottom w:val="none" w:sz="0" w:space="0" w:color="auto"/>
            <w:right w:val="none" w:sz="0" w:space="0" w:color="auto"/>
          </w:divBdr>
        </w:div>
        <w:div w:id="353849997">
          <w:marLeft w:val="0"/>
          <w:marRight w:val="0"/>
          <w:marTop w:val="0"/>
          <w:marBottom w:val="0"/>
          <w:divBdr>
            <w:top w:val="none" w:sz="0" w:space="0" w:color="auto"/>
            <w:left w:val="none" w:sz="0" w:space="0" w:color="auto"/>
            <w:bottom w:val="none" w:sz="0" w:space="0" w:color="auto"/>
            <w:right w:val="none" w:sz="0" w:space="0" w:color="auto"/>
          </w:divBdr>
        </w:div>
        <w:div w:id="471676953">
          <w:marLeft w:val="0"/>
          <w:marRight w:val="0"/>
          <w:marTop w:val="0"/>
          <w:marBottom w:val="0"/>
          <w:divBdr>
            <w:top w:val="none" w:sz="0" w:space="0" w:color="auto"/>
            <w:left w:val="none" w:sz="0" w:space="0" w:color="auto"/>
            <w:bottom w:val="none" w:sz="0" w:space="0" w:color="auto"/>
            <w:right w:val="none" w:sz="0" w:space="0" w:color="auto"/>
          </w:divBdr>
        </w:div>
        <w:div w:id="1454055617">
          <w:marLeft w:val="0"/>
          <w:marRight w:val="0"/>
          <w:marTop w:val="0"/>
          <w:marBottom w:val="0"/>
          <w:divBdr>
            <w:top w:val="none" w:sz="0" w:space="0" w:color="auto"/>
            <w:left w:val="none" w:sz="0" w:space="0" w:color="auto"/>
            <w:bottom w:val="none" w:sz="0" w:space="0" w:color="auto"/>
            <w:right w:val="none" w:sz="0" w:space="0" w:color="auto"/>
          </w:divBdr>
        </w:div>
        <w:div w:id="69814515">
          <w:marLeft w:val="0"/>
          <w:marRight w:val="0"/>
          <w:marTop w:val="0"/>
          <w:marBottom w:val="0"/>
          <w:divBdr>
            <w:top w:val="none" w:sz="0" w:space="0" w:color="auto"/>
            <w:left w:val="none" w:sz="0" w:space="0" w:color="auto"/>
            <w:bottom w:val="none" w:sz="0" w:space="0" w:color="auto"/>
            <w:right w:val="none" w:sz="0" w:space="0" w:color="auto"/>
          </w:divBdr>
        </w:div>
        <w:div w:id="599416210">
          <w:marLeft w:val="0"/>
          <w:marRight w:val="0"/>
          <w:marTop w:val="0"/>
          <w:marBottom w:val="0"/>
          <w:divBdr>
            <w:top w:val="none" w:sz="0" w:space="0" w:color="auto"/>
            <w:left w:val="none" w:sz="0" w:space="0" w:color="auto"/>
            <w:bottom w:val="none" w:sz="0" w:space="0" w:color="auto"/>
            <w:right w:val="none" w:sz="0" w:space="0" w:color="auto"/>
          </w:divBdr>
        </w:div>
        <w:div w:id="118231535">
          <w:marLeft w:val="0"/>
          <w:marRight w:val="0"/>
          <w:marTop w:val="0"/>
          <w:marBottom w:val="0"/>
          <w:divBdr>
            <w:top w:val="none" w:sz="0" w:space="0" w:color="auto"/>
            <w:left w:val="none" w:sz="0" w:space="0" w:color="auto"/>
            <w:bottom w:val="none" w:sz="0" w:space="0" w:color="auto"/>
            <w:right w:val="none" w:sz="0" w:space="0" w:color="auto"/>
          </w:divBdr>
        </w:div>
        <w:div w:id="189340551">
          <w:marLeft w:val="0"/>
          <w:marRight w:val="0"/>
          <w:marTop w:val="0"/>
          <w:marBottom w:val="0"/>
          <w:divBdr>
            <w:top w:val="none" w:sz="0" w:space="0" w:color="auto"/>
            <w:left w:val="none" w:sz="0" w:space="0" w:color="auto"/>
            <w:bottom w:val="none" w:sz="0" w:space="0" w:color="auto"/>
            <w:right w:val="none" w:sz="0" w:space="0" w:color="auto"/>
          </w:divBdr>
        </w:div>
        <w:div w:id="1870072428">
          <w:marLeft w:val="0"/>
          <w:marRight w:val="0"/>
          <w:marTop w:val="0"/>
          <w:marBottom w:val="0"/>
          <w:divBdr>
            <w:top w:val="none" w:sz="0" w:space="0" w:color="auto"/>
            <w:left w:val="none" w:sz="0" w:space="0" w:color="auto"/>
            <w:bottom w:val="none" w:sz="0" w:space="0" w:color="auto"/>
            <w:right w:val="none" w:sz="0" w:space="0" w:color="auto"/>
          </w:divBdr>
        </w:div>
        <w:div w:id="1808814267">
          <w:marLeft w:val="0"/>
          <w:marRight w:val="0"/>
          <w:marTop w:val="0"/>
          <w:marBottom w:val="0"/>
          <w:divBdr>
            <w:top w:val="none" w:sz="0" w:space="0" w:color="auto"/>
            <w:left w:val="none" w:sz="0" w:space="0" w:color="auto"/>
            <w:bottom w:val="none" w:sz="0" w:space="0" w:color="auto"/>
            <w:right w:val="none" w:sz="0" w:space="0" w:color="auto"/>
          </w:divBdr>
        </w:div>
        <w:div w:id="1809515198">
          <w:marLeft w:val="0"/>
          <w:marRight w:val="0"/>
          <w:marTop w:val="0"/>
          <w:marBottom w:val="0"/>
          <w:divBdr>
            <w:top w:val="none" w:sz="0" w:space="0" w:color="auto"/>
            <w:left w:val="none" w:sz="0" w:space="0" w:color="auto"/>
            <w:bottom w:val="none" w:sz="0" w:space="0" w:color="auto"/>
            <w:right w:val="none" w:sz="0" w:space="0" w:color="auto"/>
          </w:divBdr>
        </w:div>
        <w:div w:id="1236014604">
          <w:marLeft w:val="0"/>
          <w:marRight w:val="0"/>
          <w:marTop w:val="0"/>
          <w:marBottom w:val="0"/>
          <w:divBdr>
            <w:top w:val="none" w:sz="0" w:space="0" w:color="auto"/>
            <w:left w:val="none" w:sz="0" w:space="0" w:color="auto"/>
            <w:bottom w:val="none" w:sz="0" w:space="0" w:color="auto"/>
            <w:right w:val="none" w:sz="0" w:space="0" w:color="auto"/>
          </w:divBdr>
        </w:div>
        <w:div w:id="162359037">
          <w:marLeft w:val="0"/>
          <w:marRight w:val="0"/>
          <w:marTop w:val="0"/>
          <w:marBottom w:val="0"/>
          <w:divBdr>
            <w:top w:val="none" w:sz="0" w:space="0" w:color="auto"/>
            <w:left w:val="none" w:sz="0" w:space="0" w:color="auto"/>
            <w:bottom w:val="none" w:sz="0" w:space="0" w:color="auto"/>
            <w:right w:val="none" w:sz="0" w:space="0" w:color="auto"/>
          </w:divBdr>
        </w:div>
        <w:div w:id="1034381238">
          <w:marLeft w:val="0"/>
          <w:marRight w:val="0"/>
          <w:marTop w:val="0"/>
          <w:marBottom w:val="0"/>
          <w:divBdr>
            <w:top w:val="none" w:sz="0" w:space="0" w:color="auto"/>
            <w:left w:val="none" w:sz="0" w:space="0" w:color="auto"/>
            <w:bottom w:val="none" w:sz="0" w:space="0" w:color="auto"/>
            <w:right w:val="none" w:sz="0" w:space="0" w:color="auto"/>
          </w:divBdr>
        </w:div>
        <w:div w:id="49887688">
          <w:marLeft w:val="0"/>
          <w:marRight w:val="0"/>
          <w:marTop w:val="0"/>
          <w:marBottom w:val="0"/>
          <w:divBdr>
            <w:top w:val="none" w:sz="0" w:space="0" w:color="auto"/>
            <w:left w:val="none" w:sz="0" w:space="0" w:color="auto"/>
            <w:bottom w:val="none" w:sz="0" w:space="0" w:color="auto"/>
            <w:right w:val="none" w:sz="0" w:space="0" w:color="auto"/>
          </w:divBdr>
        </w:div>
        <w:div w:id="648216863">
          <w:marLeft w:val="0"/>
          <w:marRight w:val="0"/>
          <w:marTop w:val="0"/>
          <w:marBottom w:val="0"/>
          <w:divBdr>
            <w:top w:val="none" w:sz="0" w:space="0" w:color="auto"/>
            <w:left w:val="none" w:sz="0" w:space="0" w:color="auto"/>
            <w:bottom w:val="none" w:sz="0" w:space="0" w:color="auto"/>
            <w:right w:val="none" w:sz="0" w:space="0" w:color="auto"/>
          </w:divBdr>
        </w:div>
      </w:divsChild>
    </w:div>
    <w:div w:id="392584334">
      <w:bodyDiv w:val="1"/>
      <w:marLeft w:val="0"/>
      <w:marRight w:val="0"/>
      <w:marTop w:val="0"/>
      <w:marBottom w:val="0"/>
      <w:divBdr>
        <w:top w:val="none" w:sz="0" w:space="0" w:color="auto"/>
        <w:left w:val="none" w:sz="0" w:space="0" w:color="auto"/>
        <w:bottom w:val="none" w:sz="0" w:space="0" w:color="auto"/>
        <w:right w:val="none" w:sz="0" w:space="0" w:color="auto"/>
      </w:divBdr>
    </w:div>
    <w:div w:id="404491439">
      <w:bodyDiv w:val="1"/>
      <w:marLeft w:val="0"/>
      <w:marRight w:val="0"/>
      <w:marTop w:val="0"/>
      <w:marBottom w:val="0"/>
      <w:divBdr>
        <w:top w:val="none" w:sz="0" w:space="0" w:color="auto"/>
        <w:left w:val="none" w:sz="0" w:space="0" w:color="auto"/>
        <w:bottom w:val="none" w:sz="0" w:space="0" w:color="auto"/>
        <w:right w:val="none" w:sz="0" w:space="0" w:color="auto"/>
      </w:divBdr>
    </w:div>
    <w:div w:id="405156073">
      <w:bodyDiv w:val="1"/>
      <w:marLeft w:val="0"/>
      <w:marRight w:val="0"/>
      <w:marTop w:val="0"/>
      <w:marBottom w:val="0"/>
      <w:divBdr>
        <w:top w:val="none" w:sz="0" w:space="0" w:color="auto"/>
        <w:left w:val="none" w:sz="0" w:space="0" w:color="auto"/>
        <w:bottom w:val="none" w:sz="0" w:space="0" w:color="auto"/>
        <w:right w:val="none" w:sz="0" w:space="0" w:color="auto"/>
      </w:divBdr>
    </w:div>
    <w:div w:id="419955184">
      <w:bodyDiv w:val="1"/>
      <w:marLeft w:val="0"/>
      <w:marRight w:val="0"/>
      <w:marTop w:val="0"/>
      <w:marBottom w:val="0"/>
      <w:divBdr>
        <w:top w:val="none" w:sz="0" w:space="0" w:color="auto"/>
        <w:left w:val="none" w:sz="0" w:space="0" w:color="auto"/>
        <w:bottom w:val="none" w:sz="0" w:space="0" w:color="auto"/>
        <w:right w:val="none" w:sz="0" w:space="0" w:color="auto"/>
      </w:divBdr>
    </w:div>
    <w:div w:id="430207259">
      <w:bodyDiv w:val="1"/>
      <w:marLeft w:val="0"/>
      <w:marRight w:val="0"/>
      <w:marTop w:val="0"/>
      <w:marBottom w:val="0"/>
      <w:divBdr>
        <w:top w:val="none" w:sz="0" w:space="0" w:color="auto"/>
        <w:left w:val="none" w:sz="0" w:space="0" w:color="auto"/>
        <w:bottom w:val="none" w:sz="0" w:space="0" w:color="auto"/>
        <w:right w:val="none" w:sz="0" w:space="0" w:color="auto"/>
      </w:divBdr>
    </w:div>
    <w:div w:id="449712867">
      <w:bodyDiv w:val="1"/>
      <w:marLeft w:val="0"/>
      <w:marRight w:val="0"/>
      <w:marTop w:val="0"/>
      <w:marBottom w:val="0"/>
      <w:divBdr>
        <w:top w:val="none" w:sz="0" w:space="0" w:color="auto"/>
        <w:left w:val="none" w:sz="0" w:space="0" w:color="auto"/>
        <w:bottom w:val="none" w:sz="0" w:space="0" w:color="auto"/>
        <w:right w:val="none" w:sz="0" w:space="0" w:color="auto"/>
      </w:divBdr>
    </w:div>
    <w:div w:id="475411906">
      <w:bodyDiv w:val="1"/>
      <w:marLeft w:val="0"/>
      <w:marRight w:val="0"/>
      <w:marTop w:val="0"/>
      <w:marBottom w:val="0"/>
      <w:divBdr>
        <w:top w:val="none" w:sz="0" w:space="0" w:color="auto"/>
        <w:left w:val="none" w:sz="0" w:space="0" w:color="auto"/>
        <w:bottom w:val="none" w:sz="0" w:space="0" w:color="auto"/>
        <w:right w:val="none" w:sz="0" w:space="0" w:color="auto"/>
      </w:divBdr>
      <w:divsChild>
        <w:div w:id="1874539389">
          <w:marLeft w:val="0"/>
          <w:marRight w:val="0"/>
          <w:marTop w:val="0"/>
          <w:marBottom w:val="0"/>
          <w:divBdr>
            <w:top w:val="none" w:sz="0" w:space="0" w:color="auto"/>
            <w:left w:val="none" w:sz="0" w:space="0" w:color="auto"/>
            <w:bottom w:val="none" w:sz="0" w:space="0" w:color="auto"/>
            <w:right w:val="none" w:sz="0" w:space="0" w:color="auto"/>
          </w:divBdr>
          <w:divsChild>
            <w:div w:id="1666931805">
              <w:marLeft w:val="0"/>
              <w:marRight w:val="0"/>
              <w:marTop w:val="0"/>
              <w:marBottom w:val="0"/>
              <w:divBdr>
                <w:top w:val="none" w:sz="0" w:space="0" w:color="auto"/>
                <w:left w:val="none" w:sz="0" w:space="0" w:color="auto"/>
                <w:bottom w:val="none" w:sz="0" w:space="0" w:color="auto"/>
                <w:right w:val="none" w:sz="0" w:space="0" w:color="auto"/>
              </w:divBdr>
              <w:divsChild>
                <w:div w:id="174805651">
                  <w:marLeft w:val="0"/>
                  <w:marRight w:val="0"/>
                  <w:marTop w:val="0"/>
                  <w:marBottom w:val="0"/>
                  <w:divBdr>
                    <w:top w:val="none" w:sz="0" w:space="0" w:color="auto"/>
                    <w:left w:val="none" w:sz="0" w:space="0" w:color="auto"/>
                    <w:bottom w:val="none" w:sz="0" w:space="0" w:color="auto"/>
                    <w:right w:val="none" w:sz="0" w:space="0" w:color="auto"/>
                  </w:divBdr>
                  <w:divsChild>
                    <w:div w:id="82648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479592">
          <w:marLeft w:val="0"/>
          <w:marRight w:val="0"/>
          <w:marTop w:val="0"/>
          <w:marBottom w:val="0"/>
          <w:divBdr>
            <w:top w:val="none" w:sz="0" w:space="0" w:color="auto"/>
            <w:left w:val="none" w:sz="0" w:space="0" w:color="auto"/>
            <w:bottom w:val="none" w:sz="0" w:space="0" w:color="auto"/>
            <w:right w:val="none" w:sz="0" w:space="0" w:color="auto"/>
          </w:divBdr>
          <w:divsChild>
            <w:div w:id="213931150">
              <w:marLeft w:val="0"/>
              <w:marRight w:val="0"/>
              <w:marTop w:val="0"/>
              <w:marBottom w:val="0"/>
              <w:divBdr>
                <w:top w:val="none" w:sz="0" w:space="0" w:color="auto"/>
                <w:left w:val="none" w:sz="0" w:space="0" w:color="auto"/>
                <w:bottom w:val="none" w:sz="0" w:space="0" w:color="auto"/>
                <w:right w:val="none" w:sz="0" w:space="0" w:color="auto"/>
              </w:divBdr>
              <w:divsChild>
                <w:div w:id="614024671">
                  <w:marLeft w:val="0"/>
                  <w:marRight w:val="0"/>
                  <w:marTop w:val="0"/>
                  <w:marBottom w:val="0"/>
                  <w:divBdr>
                    <w:top w:val="none" w:sz="0" w:space="0" w:color="auto"/>
                    <w:left w:val="none" w:sz="0" w:space="0" w:color="auto"/>
                    <w:bottom w:val="none" w:sz="0" w:space="0" w:color="auto"/>
                    <w:right w:val="none" w:sz="0" w:space="0" w:color="auto"/>
                  </w:divBdr>
                  <w:divsChild>
                    <w:div w:id="170710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919981">
      <w:bodyDiv w:val="1"/>
      <w:marLeft w:val="0"/>
      <w:marRight w:val="0"/>
      <w:marTop w:val="0"/>
      <w:marBottom w:val="0"/>
      <w:divBdr>
        <w:top w:val="none" w:sz="0" w:space="0" w:color="auto"/>
        <w:left w:val="none" w:sz="0" w:space="0" w:color="auto"/>
        <w:bottom w:val="none" w:sz="0" w:space="0" w:color="auto"/>
        <w:right w:val="none" w:sz="0" w:space="0" w:color="auto"/>
      </w:divBdr>
    </w:div>
    <w:div w:id="480654353">
      <w:bodyDiv w:val="1"/>
      <w:marLeft w:val="0"/>
      <w:marRight w:val="0"/>
      <w:marTop w:val="0"/>
      <w:marBottom w:val="0"/>
      <w:divBdr>
        <w:top w:val="none" w:sz="0" w:space="0" w:color="auto"/>
        <w:left w:val="none" w:sz="0" w:space="0" w:color="auto"/>
        <w:bottom w:val="none" w:sz="0" w:space="0" w:color="auto"/>
        <w:right w:val="none" w:sz="0" w:space="0" w:color="auto"/>
      </w:divBdr>
    </w:div>
    <w:div w:id="490291635">
      <w:bodyDiv w:val="1"/>
      <w:marLeft w:val="0"/>
      <w:marRight w:val="0"/>
      <w:marTop w:val="0"/>
      <w:marBottom w:val="0"/>
      <w:divBdr>
        <w:top w:val="none" w:sz="0" w:space="0" w:color="auto"/>
        <w:left w:val="none" w:sz="0" w:space="0" w:color="auto"/>
        <w:bottom w:val="none" w:sz="0" w:space="0" w:color="auto"/>
        <w:right w:val="none" w:sz="0" w:space="0" w:color="auto"/>
      </w:divBdr>
      <w:divsChild>
        <w:div w:id="1205823709">
          <w:marLeft w:val="0"/>
          <w:marRight w:val="0"/>
          <w:marTop w:val="0"/>
          <w:marBottom w:val="0"/>
          <w:divBdr>
            <w:top w:val="none" w:sz="0" w:space="0" w:color="auto"/>
            <w:left w:val="none" w:sz="0" w:space="0" w:color="auto"/>
            <w:bottom w:val="none" w:sz="0" w:space="0" w:color="auto"/>
            <w:right w:val="none" w:sz="0" w:space="0" w:color="auto"/>
          </w:divBdr>
          <w:divsChild>
            <w:div w:id="140143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078563">
      <w:bodyDiv w:val="1"/>
      <w:marLeft w:val="0"/>
      <w:marRight w:val="0"/>
      <w:marTop w:val="0"/>
      <w:marBottom w:val="0"/>
      <w:divBdr>
        <w:top w:val="none" w:sz="0" w:space="0" w:color="auto"/>
        <w:left w:val="none" w:sz="0" w:space="0" w:color="auto"/>
        <w:bottom w:val="none" w:sz="0" w:space="0" w:color="auto"/>
        <w:right w:val="none" w:sz="0" w:space="0" w:color="auto"/>
      </w:divBdr>
    </w:div>
    <w:div w:id="503017521">
      <w:bodyDiv w:val="1"/>
      <w:marLeft w:val="0"/>
      <w:marRight w:val="0"/>
      <w:marTop w:val="0"/>
      <w:marBottom w:val="0"/>
      <w:divBdr>
        <w:top w:val="none" w:sz="0" w:space="0" w:color="auto"/>
        <w:left w:val="none" w:sz="0" w:space="0" w:color="auto"/>
        <w:bottom w:val="none" w:sz="0" w:space="0" w:color="auto"/>
        <w:right w:val="none" w:sz="0" w:space="0" w:color="auto"/>
      </w:divBdr>
    </w:div>
    <w:div w:id="514854068">
      <w:bodyDiv w:val="1"/>
      <w:marLeft w:val="0"/>
      <w:marRight w:val="0"/>
      <w:marTop w:val="0"/>
      <w:marBottom w:val="0"/>
      <w:divBdr>
        <w:top w:val="none" w:sz="0" w:space="0" w:color="auto"/>
        <w:left w:val="none" w:sz="0" w:space="0" w:color="auto"/>
        <w:bottom w:val="none" w:sz="0" w:space="0" w:color="auto"/>
        <w:right w:val="none" w:sz="0" w:space="0" w:color="auto"/>
      </w:divBdr>
    </w:div>
    <w:div w:id="519205343">
      <w:bodyDiv w:val="1"/>
      <w:marLeft w:val="0"/>
      <w:marRight w:val="0"/>
      <w:marTop w:val="0"/>
      <w:marBottom w:val="0"/>
      <w:divBdr>
        <w:top w:val="none" w:sz="0" w:space="0" w:color="auto"/>
        <w:left w:val="none" w:sz="0" w:space="0" w:color="auto"/>
        <w:bottom w:val="none" w:sz="0" w:space="0" w:color="auto"/>
        <w:right w:val="none" w:sz="0" w:space="0" w:color="auto"/>
      </w:divBdr>
    </w:div>
    <w:div w:id="536234194">
      <w:bodyDiv w:val="1"/>
      <w:marLeft w:val="0"/>
      <w:marRight w:val="0"/>
      <w:marTop w:val="0"/>
      <w:marBottom w:val="0"/>
      <w:divBdr>
        <w:top w:val="none" w:sz="0" w:space="0" w:color="auto"/>
        <w:left w:val="none" w:sz="0" w:space="0" w:color="auto"/>
        <w:bottom w:val="none" w:sz="0" w:space="0" w:color="auto"/>
        <w:right w:val="none" w:sz="0" w:space="0" w:color="auto"/>
      </w:divBdr>
    </w:div>
    <w:div w:id="539903310">
      <w:bodyDiv w:val="1"/>
      <w:marLeft w:val="0"/>
      <w:marRight w:val="0"/>
      <w:marTop w:val="0"/>
      <w:marBottom w:val="0"/>
      <w:divBdr>
        <w:top w:val="none" w:sz="0" w:space="0" w:color="auto"/>
        <w:left w:val="none" w:sz="0" w:space="0" w:color="auto"/>
        <w:bottom w:val="none" w:sz="0" w:space="0" w:color="auto"/>
        <w:right w:val="none" w:sz="0" w:space="0" w:color="auto"/>
      </w:divBdr>
    </w:div>
    <w:div w:id="541211470">
      <w:bodyDiv w:val="1"/>
      <w:marLeft w:val="0"/>
      <w:marRight w:val="0"/>
      <w:marTop w:val="0"/>
      <w:marBottom w:val="0"/>
      <w:divBdr>
        <w:top w:val="none" w:sz="0" w:space="0" w:color="auto"/>
        <w:left w:val="none" w:sz="0" w:space="0" w:color="auto"/>
        <w:bottom w:val="none" w:sz="0" w:space="0" w:color="auto"/>
        <w:right w:val="none" w:sz="0" w:space="0" w:color="auto"/>
      </w:divBdr>
    </w:div>
    <w:div w:id="546572654">
      <w:bodyDiv w:val="1"/>
      <w:marLeft w:val="0"/>
      <w:marRight w:val="0"/>
      <w:marTop w:val="0"/>
      <w:marBottom w:val="0"/>
      <w:divBdr>
        <w:top w:val="none" w:sz="0" w:space="0" w:color="auto"/>
        <w:left w:val="none" w:sz="0" w:space="0" w:color="auto"/>
        <w:bottom w:val="none" w:sz="0" w:space="0" w:color="auto"/>
        <w:right w:val="none" w:sz="0" w:space="0" w:color="auto"/>
      </w:divBdr>
    </w:div>
    <w:div w:id="568077147">
      <w:bodyDiv w:val="1"/>
      <w:marLeft w:val="0"/>
      <w:marRight w:val="0"/>
      <w:marTop w:val="0"/>
      <w:marBottom w:val="0"/>
      <w:divBdr>
        <w:top w:val="none" w:sz="0" w:space="0" w:color="auto"/>
        <w:left w:val="none" w:sz="0" w:space="0" w:color="auto"/>
        <w:bottom w:val="none" w:sz="0" w:space="0" w:color="auto"/>
        <w:right w:val="none" w:sz="0" w:space="0" w:color="auto"/>
      </w:divBdr>
    </w:div>
    <w:div w:id="568348167">
      <w:bodyDiv w:val="1"/>
      <w:marLeft w:val="0"/>
      <w:marRight w:val="0"/>
      <w:marTop w:val="0"/>
      <w:marBottom w:val="0"/>
      <w:divBdr>
        <w:top w:val="none" w:sz="0" w:space="0" w:color="auto"/>
        <w:left w:val="none" w:sz="0" w:space="0" w:color="auto"/>
        <w:bottom w:val="none" w:sz="0" w:space="0" w:color="auto"/>
        <w:right w:val="none" w:sz="0" w:space="0" w:color="auto"/>
      </w:divBdr>
    </w:div>
    <w:div w:id="571820095">
      <w:bodyDiv w:val="1"/>
      <w:marLeft w:val="0"/>
      <w:marRight w:val="0"/>
      <w:marTop w:val="0"/>
      <w:marBottom w:val="0"/>
      <w:divBdr>
        <w:top w:val="none" w:sz="0" w:space="0" w:color="auto"/>
        <w:left w:val="none" w:sz="0" w:space="0" w:color="auto"/>
        <w:bottom w:val="none" w:sz="0" w:space="0" w:color="auto"/>
        <w:right w:val="none" w:sz="0" w:space="0" w:color="auto"/>
      </w:divBdr>
    </w:div>
    <w:div w:id="592468816">
      <w:bodyDiv w:val="1"/>
      <w:marLeft w:val="0"/>
      <w:marRight w:val="0"/>
      <w:marTop w:val="0"/>
      <w:marBottom w:val="0"/>
      <w:divBdr>
        <w:top w:val="none" w:sz="0" w:space="0" w:color="auto"/>
        <w:left w:val="none" w:sz="0" w:space="0" w:color="auto"/>
        <w:bottom w:val="none" w:sz="0" w:space="0" w:color="auto"/>
        <w:right w:val="none" w:sz="0" w:space="0" w:color="auto"/>
      </w:divBdr>
    </w:div>
    <w:div w:id="596448628">
      <w:bodyDiv w:val="1"/>
      <w:marLeft w:val="0"/>
      <w:marRight w:val="0"/>
      <w:marTop w:val="0"/>
      <w:marBottom w:val="0"/>
      <w:divBdr>
        <w:top w:val="none" w:sz="0" w:space="0" w:color="auto"/>
        <w:left w:val="none" w:sz="0" w:space="0" w:color="auto"/>
        <w:bottom w:val="none" w:sz="0" w:space="0" w:color="auto"/>
        <w:right w:val="none" w:sz="0" w:space="0" w:color="auto"/>
      </w:divBdr>
    </w:div>
    <w:div w:id="596982491">
      <w:bodyDiv w:val="1"/>
      <w:marLeft w:val="0"/>
      <w:marRight w:val="0"/>
      <w:marTop w:val="0"/>
      <w:marBottom w:val="0"/>
      <w:divBdr>
        <w:top w:val="none" w:sz="0" w:space="0" w:color="auto"/>
        <w:left w:val="none" w:sz="0" w:space="0" w:color="auto"/>
        <w:bottom w:val="none" w:sz="0" w:space="0" w:color="auto"/>
        <w:right w:val="none" w:sz="0" w:space="0" w:color="auto"/>
      </w:divBdr>
    </w:div>
    <w:div w:id="599411454">
      <w:bodyDiv w:val="1"/>
      <w:marLeft w:val="0"/>
      <w:marRight w:val="0"/>
      <w:marTop w:val="0"/>
      <w:marBottom w:val="0"/>
      <w:divBdr>
        <w:top w:val="none" w:sz="0" w:space="0" w:color="auto"/>
        <w:left w:val="none" w:sz="0" w:space="0" w:color="auto"/>
        <w:bottom w:val="none" w:sz="0" w:space="0" w:color="auto"/>
        <w:right w:val="none" w:sz="0" w:space="0" w:color="auto"/>
      </w:divBdr>
    </w:div>
    <w:div w:id="609510461">
      <w:bodyDiv w:val="1"/>
      <w:marLeft w:val="0"/>
      <w:marRight w:val="0"/>
      <w:marTop w:val="0"/>
      <w:marBottom w:val="0"/>
      <w:divBdr>
        <w:top w:val="none" w:sz="0" w:space="0" w:color="auto"/>
        <w:left w:val="none" w:sz="0" w:space="0" w:color="auto"/>
        <w:bottom w:val="none" w:sz="0" w:space="0" w:color="auto"/>
        <w:right w:val="none" w:sz="0" w:space="0" w:color="auto"/>
      </w:divBdr>
    </w:div>
    <w:div w:id="626276794">
      <w:bodyDiv w:val="1"/>
      <w:marLeft w:val="0"/>
      <w:marRight w:val="0"/>
      <w:marTop w:val="0"/>
      <w:marBottom w:val="0"/>
      <w:divBdr>
        <w:top w:val="none" w:sz="0" w:space="0" w:color="auto"/>
        <w:left w:val="none" w:sz="0" w:space="0" w:color="auto"/>
        <w:bottom w:val="none" w:sz="0" w:space="0" w:color="auto"/>
        <w:right w:val="none" w:sz="0" w:space="0" w:color="auto"/>
      </w:divBdr>
    </w:div>
    <w:div w:id="628627697">
      <w:bodyDiv w:val="1"/>
      <w:marLeft w:val="0"/>
      <w:marRight w:val="0"/>
      <w:marTop w:val="0"/>
      <w:marBottom w:val="0"/>
      <w:divBdr>
        <w:top w:val="none" w:sz="0" w:space="0" w:color="auto"/>
        <w:left w:val="none" w:sz="0" w:space="0" w:color="auto"/>
        <w:bottom w:val="none" w:sz="0" w:space="0" w:color="auto"/>
        <w:right w:val="none" w:sz="0" w:space="0" w:color="auto"/>
      </w:divBdr>
    </w:div>
    <w:div w:id="629676285">
      <w:bodyDiv w:val="1"/>
      <w:marLeft w:val="0"/>
      <w:marRight w:val="0"/>
      <w:marTop w:val="0"/>
      <w:marBottom w:val="0"/>
      <w:divBdr>
        <w:top w:val="none" w:sz="0" w:space="0" w:color="auto"/>
        <w:left w:val="none" w:sz="0" w:space="0" w:color="auto"/>
        <w:bottom w:val="none" w:sz="0" w:space="0" w:color="auto"/>
        <w:right w:val="none" w:sz="0" w:space="0" w:color="auto"/>
      </w:divBdr>
    </w:div>
    <w:div w:id="633407401">
      <w:bodyDiv w:val="1"/>
      <w:marLeft w:val="0"/>
      <w:marRight w:val="0"/>
      <w:marTop w:val="0"/>
      <w:marBottom w:val="0"/>
      <w:divBdr>
        <w:top w:val="none" w:sz="0" w:space="0" w:color="auto"/>
        <w:left w:val="none" w:sz="0" w:space="0" w:color="auto"/>
        <w:bottom w:val="none" w:sz="0" w:space="0" w:color="auto"/>
        <w:right w:val="none" w:sz="0" w:space="0" w:color="auto"/>
      </w:divBdr>
    </w:div>
    <w:div w:id="634067995">
      <w:bodyDiv w:val="1"/>
      <w:marLeft w:val="0"/>
      <w:marRight w:val="0"/>
      <w:marTop w:val="0"/>
      <w:marBottom w:val="0"/>
      <w:divBdr>
        <w:top w:val="none" w:sz="0" w:space="0" w:color="auto"/>
        <w:left w:val="none" w:sz="0" w:space="0" w:color="auto"/>
        <w:bottom w:val="none" w:sz="0" w:space="0" w:color="auto"/>
        <w:right w:val="none" w:sz="0" w:space="0" w:color="auto"/>
      </w:divBdr>
    </w:div>
    <w:div w:id="634336336">
      <w:bodyDiv w:val="1"/>
      <w:marLeft w:val="0"/>
      <w:marRight w:val="0"/>
      <w:marTop w:val="0"/>
      <w:marBottom w:val="0"/>
      <w:divBdr>
        <w:top w:val="none" w:sz="0" w:space="0" w:color="auto"/>
        <w:left w:val="none" w:sz="0" w:space="0" w:color="auto"/>
        <w:bottom w:val="none" w:sz="0" w:space="0" w:color="auto"/>
        <w:right w:val="none" w:sz="0" w:space="0" w:color="auto"/>
      </w:divBdr>
    </w:div>
    <w:div w:id="641424405">
      <w:bodyDiv w:val="1"/>
      <w:marLeft w:val="0"/>
      <w:marRight w:val="0"/>
      <w:marTop w:val="0"/>
      <w:marBottom w:val="0"/>
      <w:divBdr>
        <w:top w:val="none" w:sz="0" w:space="0" w:color="auto"/>
        <w:left w:val="none" w:sz="0" w:space="0" w:color="auto"/>
        <w:bottom w:val="none" w:sz="0" w:space="0" w:color="auto"/>
        <w:right w:val="none" w:sz="0" w:space="0" w:color="auto"/>
      </w:divBdr>
      <w:divsChild>
        <w:div w:id="350180573">
          <w:marLeft w:val="0"/>
          <w:marRight w:val="0"/>
          <w:marTop w:val="0"/>
          <w:marBottom w:val="0"/>
          <w:divBdr>
            <w:top w:val="none" w:sz="0" w:space="0" w:color="auto"/>
            <w:left w:val="none" w:sz="0" w:space="0" w:color="auto"/>
            <w:bottom w:val="none" w:sz="0" w:space="0" w:color="auto"/>
            <w:right w:val="none" w:sz="0" w:space="0" w:color="auto"/>
          </w:divBdr>
          <w:divsChild>
            <w:div w:id="2076396029">
              <w:marLeft w:val="0"/>
              <w:marRight w:val="0"/>
              <w:marTop w:val="0"/>
              <w:marBottom w:val="0"/>
              <w:divBdr>
                <w:top w:val="none" w:sz="0" w:space="0" w:color="auto"/>
                <w:left w:val="none" w:sz="0" w:space="0" w:color="auto"/>
                <w:bottom w:val="none" w:sz="0" w:space="0" w:color="auto"/>
                <w:right w:val="none" w:sz="0" w:space="0" w:color="auto"/>
              </w:divBdr>
              <w:divsChild>
                <w:div w:id="90167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45475">
          <w:marLeft w:val="0"/>
          <w:marRight w:val="0"/>
          <w:marTop w:val="0"/>
          <w:marBottom w:val="0"/>
          <w:divBdr>
            <w:top w:val="none" w:sz="0" w:space="0" w:color="auto"/>
            <w:left w:val="none" w:sz="0" w:space="0" w:color="auto"/>
            <w:bottom w:val="none" w:sz="0" w:space="0" w:color="auto"/>
            <w:right w:val="none" w:sz="0" w:space="0" w:color="auto"/>
          </w:divBdr>
          <w:divsChild>
            <w:div w:id="1575121364">
              <w:marLeft w:val="0"/>
              <w:marRight w:val="0"/>
              <w:marTop w:val="0"/>
              <w:marBottom w:val="0"/>
              <w:divBdr>
                <w:top w:val="none" w:sz="0" w:space="0" w:color="auto"/>
                <w:left w:val="none" w:sz="0" w:space="0" w:color="auto"/>
                <w:bottom w:val="none" w:sz="0" w:space="0" w:color="auto"/>
                <w:right w:val="none" w:sz="0" w:space="0" w:color="auto"/>
              </w:divBdr>
              <w:divsChild>
                <w:div w:id="903300744">
                  <w:marLeft w:val="0"/>
                  <w:marRight w:val="0"/>
                  <w:marTop w:val="0"/>
                  <w:marBottom w:val="0"/>
                  <w:divBdr>
                    <w:top w:val="none" w:sz="0" w:space="0" w:color="auto"/>
                    <w:left w:val="none" w:sz="0" w:space="0" w:color="auto"/>
                    <w:bottom w:val="none" w:sz="0" w:space="0" w:color="auto"/>
                    <w:right w:val="none" w:sz="0" w:space="0" w:color="auto"/>
                  </w:divBdr>
                  <w:divsChild>
                    <w:div w:id="97887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701579">
      <w:bodyDiv w:val="1"/>
      <w:marLeft w:val="0"/>
      <w:marRight w:val="0"/>
      <w:marTop w:val="0"/>
      <w:marBottom w:val="0"/>
      <w:divBdr>
        <w:top w:val="none" w:sz="0" w:space="0" w:color="auto"/>
        <w:left w:val="none" w:sz="0" w:space="0" w:color="auto"/>
        <w:bottom w:val="none" w:sz="0" w:space="0" w:color="auto"/>
        <w:right w:val="none" w:sz="0" w:space="0" w:color="auto"/>
      </w:divBdr>
    </w:div>
    <w:div w:id="661735448">
      <w:bodyDiv w:val="1"/>
      <w:marLeft w:val="0"/>
      <w:marRight w:val="0"/>
      <w:marTop w:val="0"/>
      <w:marBottom w:val="0"/>
      <w:divBdr>
        <w:top w:val="none" w:sz="0" w:space="0" w:color="auto"/>
        <w:left w:val="none" w:sz="0" w:space="0" w:color="auto"/>
        <w:bottom w:val="none" w:sz="0" w:space="0" w:color="auto"/>
        <w:right w:val="none" w:sz="0" w:space="0" w:color="auto"/>
      </w:divBdr>
    </w:div>
    <w:div w:id="673263009">
      <w:bodyDiv w:val="1"/>
      <w:marLeft w:val="0"/>
      <w:marRight w:val="0"/>
      <w:marTop w:val="0"/>
      <w:marBottom w:val="0"/>
      <w:divBdr>
        <w:top w:val="none" w:sz="0" w:space="0" w:color="auto"/>
        <w:left w:val="none" w:sz="0" w:space="0" w:color="auto"/>
        <w:bottom w:val="none" w:sz="0" w:space="0" w:color="auto"/>
        <w:right w:val="none" w:sz="0" w:space="0" w:color="auto"/>
      </w:divBdr>
    </w:div>
    <w:div w:id="688219377">
      <w:bodyDiv w:val="1"/>
      <w:marLeft w:val="0"/>
      <w:marRight w:val="0"/>
      <w:marTop w:val="0"/>
      <w:marBottom w:val="0"/>
      <w:divBdr>
        <w:top w:val="none" w:sz="0" w:space="0" w:color="auto"/>
        <w:left w:val="none" w:sz="0" w:space="0" w:color="auto"/>
        <w:bottom w:val="none" w:sz="0" w:space="0" w:color="auto"/>
        <w:right w:val="none" w:sz="0" w:space="0" w:color="auto"/>
      </w:divBdr>
    </w:div>
    <w:div w:id="712077764">
      <w:bodyDiv w:val="1"/>
      <w:marLeft w:val="0"/>
      <w:marRight w:val="0"/>
      <w:marTop w:val="0"/>
      <w:marBottom w:val="0"/>
      <w:divBdr>
        <w:top w:val="none" w:sz="0" w:space="0" w:color="auto"/>
        <w:left w:val="none" w:sz="0" w:space="0" w:color="auto"/>
        <w:bottom w:val="none" w:sz="0" w:space="0" w:color="auto"/>
        <w:right w:val="none" w:sz="0" w:space="0" w:color="auto"/>
      </w:divBdr>
    </w:div>
    <w:div w:id="714742869">
      <w:bodyDiv w:val="1"/>
      <w:marLeft w:val="0"/>
      <w:marRight w:val="0"/>
      <w:marTop w:val="0"/>
      <w:marBottom w:val="0"/>
      <w:divBdr>
        <w:top w:val="none" w:sz="0" w:space="0" w:color="auto"/>
        <w:left w:val="none" w:sz="0" w:space="0" w:color="auto"/>
        <w:bottom w:val="none" w:sz="0" w:space="0" w:color="auto"/>
        <w:right w:val="none" w:sz="0" w:space="0" w:color="auto"/>
      </w:divBdr>
    </w:div>
    <w:div w:id="718817967">
      <w:bodyDiv w:val="1"/>
      <w:marLeft w:val="0"/>
      <w:marRight w:val="0"/>
      <w:marTop w:val="0"/>
      <w:marBottom w:val="0"/>
      <w:divBdr>
        <w:top w:val="none" w:sz="0" w:space="0" w:color="auto"/>
        <w:left w:val="none" w:sz="0" w:space="0" w:color="auto"/>
        <w:bottom w:val="none" w:sz="0" w:space="0" w:color="auto"/>
        <w:right w:val="none" w:sz="0" w:space="0" w:color="auto"/>
      </w:divBdr>
    </w:div>
    <w:div w:id="719590871">
      <w:bodyDiv w:val="1"/>
      <w:marLeft w:val="0"/>
      <w:marRight w:val="0"/>
      <w:marTop w:val="0"/>
      <w:marBottom w:val="0"/>
      <w:divBdr>
        <w:top w:val="none" w:sz="0" w:space="0" w:color="auto"/>
        <w:left w:val="none" w:sz="0" w:space="0" w:color="auto"/>
        <w:bottom w:val="none" w:sz="0" w:space="0" w:color="auto"/>
        <w:right w:val="none" w:sz="0" w:space="0" w:color="auto"/>
      </w:divBdr>
    </w:div>
    <w:div w:id="720399839">
      <w:bodyDiv w:val="1"/>
      <w:marLeft w:val="0"/>
      <w:marRight w:val="0"/>
      <w:marTop w:val="0"/>
      <w:marBottom w:val="0"/>
      <w:divBdr>
        <w:top w:val="none" w:sz="0" w:space="0" w:color="auto"/>
        <w:left w:val="none" w:sz="0" w:space="0" w:color="auto"/>
        <w:bottom w:val="none" w:sz="0" w:space="0" w:color="auto"/>
        <w:right w:val="none" w:sz="0" w:space="0" w:color="auto"/>
      </w:divBdr>
    </w:div>
    <w:div w:id="737285817">
      <w:bodyDiv w:val="1"/>
      <w:marLeft w:val="0"/>
      <w:marRight w:val="0"/>
      <w:marTop w:val="0"/>
      <w:marBottom w:val="0"/>
      <w:divBdr>
        <w:top w:val="none" w:sz="0" w:space="0" w:color="auto"/>
        <w:left w:val="none" w:sz="0" w:space="0" w:color="auto"/>
        <w:bottom w:val="none" w:sz="0" w:space="0" w:color="auto"/>
        <w:right w:val="none" w:sz="0" w:space="0" w:color="auto"/>
      </w:divBdr>
    </w:div>
    <w:div w:id="760419389">
      <w:bodyDiv w:val="1"/>
      <w:marLeft w:val="0"/>
      <w:marRight w:val="0"/>
      <w:marTop w:val="0"/>
      <w:marBottom w:val="0"/>
      <w:divBdr>
        <w:top w:val="none" w:sz="0" w:space="0" w:color="auto"/>
        <w:left w:val="none" w:sz="0" w:space="0" w:color="auto"/>
        <w:bottom w:val="none" w:sz="0" w:space="0" w:color="auto"/>
        <w:right w:val="none" w:sz="0" w:space="0" w:color="auto"/>
      </w:divBdr>
    </w:div>
    <w:div w:id="768700485">
      <w:bodyDiv w:val="1"/>
      <w:marLeft w:val="0"/>
      <w:marRight w:val="0"/>
      <w:marTop w:val="0"/>
      <w:marBottom w:val="0"/>
      <w:divBdr>
        <w:top w:val="none" w:sz="0" w:space="0" w:color="auto"/>
        <w:left w:val="none" w:sz="0" w:space="0" w:color="auto"/>
        <w:bottom w:val="none" w:sz="0" w:space="0" w:color="auto"/>
        <w:right w:val="none" w:sz="0" w:space="0" w:color="auto"/>
      </w:divBdr>
    </w:div>
    <w:div w:id="768812029">
      <w:bodyDiv w:val="1"/>
      <w:marLeft w:val="0"/>
      <w:marRight w:val="0"/>
      <w:marTop w:val="0"/>
      <w:marBottom w:val="0"/>
      <w:divBdr>
        <w:top w:val="none" w:sz="0" w:space="0" w:color="auto"/>
        <w:left w:val="none" w:sz="0" w:space="0" w:color="auto"/>
        <w:bottom w:val="none" w:sz="0" w:space="0" w:color="auto"/>
        <w:right w:val="none" w:sz="0" w:space="0" w:color="auto"/>
      </w:divBdr>
    </w:div>
    <w:div w:id="796877032">
      <w:bodyDiv w:val="1"/>
      <w:marLeft w:val="0"/>
      <w:marRight w:val="0"/>
      <w:marTop w:val="0"/>
      <w:marBottom w:val="0"/>
      <w:divBdr>
        <w:top w:val="none" w:sz="0" w:space="0" w:color="auto"/>
        <w:left w:val="none" w:sz="0" w:space="0" w:color="auto"/>
        <w:bottom w:val="none" w:sz="0" w:space="0" w:color="auto"/>
        <w:right w:val="none" w:sz="0" w:space="0" w:color="auto"/>
      </w:divBdr>
    </w:div>
    <w:div w:id="798762755">
      <w:bodyDiv w:val="1"/>
      <w:marLeft w:val="0"/>
      <w:marRight w:val="0"/>
      <w:marTop w:val="0"/>
      <w:marBottom w:val="0"/>
      <w:divBdr>
        <w:top w:val="none" w:sz="0" w:space="0" w:color="auto"/>
        <w:left w:val="none" w:sz="0" w:space="0" w:color="auto"/>
        <w:bottom w:val="none" w:sz="0" w:space="0" w:color="auto"/>
        <w:right w:val="none" w:sz="0" w:space="0" w:color="auto"/>
      </w:divBdr>
    </w:div>
    <w:div w:id="803038012">
      <w:bodyDiv w:val="1"/>
      <w:marLeft w:val="0"/>
      <w:marRight w:val="0"/>
      <w:marTop w:val="0"/>
      <w:marBottom w:val="0"/>
      <w:divBdr>
        <w:top w:val="none" w:sz="0" w:space="0" w:color="auto"/>
        <w:left w:val="none" w:sz="0" w:space="0" w:color="auto"/>
        <w:bottom w:val="none" w:sz="0" w:space="0" w:color="auto"/>
        <w:right w:val="none" w:sz="0" w:space="0" w:color="auto"/>
      </w:divBdr>
    </w:div>
    <w:div w:id="848256873">
      <w:bodyDiv w:val="1"/>
      <w:marLeft w:val="0"/>
      <w:marRight w:val="0"/>
      <w:marTop w:val="0"/>
      <w:marBottom w:val="0"/>
      <w:divBdr>
        <w:top w:val="none" w:sz="0" w:space="0" w:color="auto"/>
        <w:left w:val="none" w:sz="0" w:space="0" w:color="auto"/>
        <w:bottom w:val="none" w:sz="0" w:space="0" w:color="auto"/>
        <w:right w:val="none" w:sz="0" w:space="0" w:color="auto"/>
      </w:divBdr>
    </w:div>
    <w:div w:id="850607416">
      <w:bodyDiv w:val="1"/>
      <w:marLeft w:val="0"/>
      <w:marRight w:val="0"/>
      <w:marTop w:val="0"/>
      <w:marBottom w:val="0"/>
      <w:divBdr>
        <w:top w:val="none" w:sz="0" w:space="0" w:color="auto"/>
        <w:left w:val="none" w:sz="0" w:space="0" w:color="auto"/>
        <w:bottom w:val="none" w:sz="0" w:space="0" w:color="auto"/>
        <w:right w:val="none" w:sz="0" w:space="0" w:color="auto"/>
      </w:divBdr>
      <w:divsChild>
        <w:div w:id="1164396036">
          <w:marLeft w:val="0"/>
          <w:marRight w:val="0"/>
          <w:marTop w:val="0"/>
          <w:marBottom w:val="0"/>
          <w:divBdr>
            <w:top w:val="none" w:sz="0" w:space="0" w:color="auto"/>
            <w:left w:val="none" w:sz="0" w:space="0" w:color="auto"/>
            <w:bottom w:val="none" w:sz="0" w:space="0" w:color="auto"/>
            <w:right w:val="none" w:sz="0" w:space="0" w:color="auto"/>
          </w:divBdr>
          <w:divsChild>
            <w:div w:id="206420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443917">
      <w:bodyDiv w:val="1"/>
      <w:marLeft w:val="0"/>
      <w:marRight w:val="0"/>
      <w:marTop w:val="0"/>
      <w:marBottom w:val="0"/>
      <w:divBdr>
        <w:top w:val="none" w:sz="0" w:space="0" w:color="auto"/>
        <w:left w:val="none" w:sz="0" w:space="0" w:color="auto"/>
        <w:bottom w:val="none" w:sz="0" w:space="0" w:color="auto"/>
        <w:right w:val="none" w:sz="0" w:space="0" w:color="auto"/>
      </w:divBdr>
    </w:div>
    <w:div w:id="872619418">
      <w:bodyDiv w:val="1"/>
      <w:marLeft w:val="0"/>
      <w:marRight w:val="0"/>
      <w:marTop w:val="0"/>
      <w:marBottom w:val="0"/>
      <w:divBdr>
        <w:top w:val="none" w:sz="0" w:space="0" w:color="auto"/>
        <w:left w:val="none" w:sz="0" w:space="0" w:color="auto"/>
        <w:bottom w:val="none" w:sz="0" w:space="0" w:color="auto"/>
        <w:right w:val="none" w:sz="0" w:space="0" w:color="auto"/>
      </w:divBdr>
    </w:div>
    <w:div w:id="877935324">
      <w:bodyDiv w:val="1"/>
      <w:marLeft w:val="0"/>
      <w:marRight w:val="0"/>
      <w:marTop w:val="0"/>
      <w:marBottom w:val="0"/>
      <w:divBdr>
        <w:top w:val="none" w:sz="0" w:space="0" w:color="auto"/>
        <w:left w:val="none" w:sz="0" w:space="0" w:color="auto"/>
        <w:bottom w:val="none" w:sz="0" w:space="0" w:color="auto"/>
        <w:right w:val="none" w:sz="0" w:space="0" w:color="auto"/>
      </w:divBdr>
    </w:div>
    <w:div w:id="890653104">
      <w:bodyDiv w:val="1"/>
      <w:marLeft w:val="0"/>
      <w:marRight w:val="0"/>
      <w:marTop w:val="0"/>
      <w:marBottom w:val="0"/>
      <w:divBdr>
        <w:top w:val="none" w:sz="0" w:space="0" w:color="auto"/>
        <w:left w:val="none" w:sz="0" w:space="0" w:color="auto"/>
        <w:bottom w:val="none" w:sz="0" w:space="0" w:color="auto"/>
        <w:right w:val="none" w:sz="0" w:space="0" w:color="auto"/>
      </w:divBdr>
    </w:div>
    <w:div w:id="893078069">
      <w:bodyDiv w:val="1"/>
      <w:marLeft w:val="0"/>
      <w:marRight w:val="0"/>
      <w:marTop w:val="0"/>
      <w:marBottom w:val="0"/>
      <w:divBdr>
        <w:top w:val="none" w:sz="0" w:space="0" w:color="auto"/>
        <w:left w:val="none" w:sz="0" w:space="0" w:color="auto"/>
        <w:bottom w:val="none" w:sz="0" w:space="0" w:color="auto"/>
        <w:right w:val="none" w:sz="0" w:space="0" w:color="auto"/>
      </w:divBdr>
    </w:div>
    <w:div w:id="907033289">
      <w:bodyDiv w:val="1"/>
      <w:marLeft w:val="0"/>
      <w:marRight w:val="0"/>
      <w:marTop w:val="0"/>
      <w:marBottom w:val="0"/>
      <w:divBdr>
        <w:top w:val="none" w:sz="0" w:space="0" w:color="auto"/>
        <w:left w:val="none" w:sz="0" w:space="0" w:color="auto"/>
        <w:bottom w:val="none" w:sz="0" w:space="0" w:color="auto"/>
        <w:right w:val="none" w:sz="0" w:space="0" w:color="auto"/>
      </w:divBdr>
    </w:div>
    <w:div w:id="910038424">
      <w:bodyDiv w:val="1"/>
      <w:marLeft w:val="0"/>
      <w:marRight w:val="0"/>
      <w:marTop w:val="0"/>
      <w:marBottom w:val="0"/>
      <w:divBdr>
        <w:top w:val="none" w:sz="0" w:space="0" w:color="auto"/>
        <w:left w:val="none" w:sz="0" w:space="0" w:color="auto"/>
        <w:bottom w:val="none" w:sz="0" w:space="0" w:color="auto"/>
        <w:right w:val="none" w:sz="0" w:space="0" w:color="auto"/>
      </w:divBdr>
      <w:divsChild>
        <w:div w:id="1642465195">
          <w:marLeft w:val="0"/>
          <w:marRight w:val="0"/>
          <w:marTop w:val="0"/>
          <w:marBottom w:val="0"/>
          <w:divBdr>
            <w:top w:val="none" w:sz="0" w:space="0" w:color="auto"/>
            <w:left w:val="none" w:sz="0" w:space="0" w:color="auto"/>
            <w:bottom w:val="none" w:sz="0" w:space="0" w:color="auto"/>
            <w:right w:val="none" w:sz="0" w:space="0" w:color="auto"/>
          </w:divBdr>
          <w:divsChild>
            <w:div w:id="248852816">
              <w:marLeft w:val="0"/>
              <w:marRight w:val="0"/>
              <w:marTop w:val="0"/>
              <w:marBottom w:val="0"/>
              <w:divBdr>
                <w:top w:val="none" w:sz="0" w:space="0" w:color="auto"/>
                <w:left w:val="none" w:sz="0" w:space="0" w:color="auto"/>
                <w:bottom w:val="none" w:sz="0" w:space="0" w:color="auto"/>
                <w:right w:val="none" w:sz="0" w:space="0" w:color="auto"/>
              </w:divBdr>
              <w:divsChild>
                <w:div w:id="1893080920">
                  <w:marLeft w:val="0"/>
                  <w:marRight w:val="0"/>
                  <w:marTop w:val="0"/>
                  <w:marBottom w:val="0"/>
                  <w:divBdr>
                    <w:top w:val="none" w:sz="0" w:space="0" w:color="auto"/>
                    <w:left w:val="none" w:sz="0" w:space="0" w:color="auto"/>
                    <w:bottom w:val="none" w:sz="0" w:space="0" w:color="auto"/>
                    <w:right w:val="none" w:sz="0" w:space="0" w:color="auto"/>
                  </w:divBdr>
                  <w:divsChild>
                    <w:div w:id="128866681">
                      <w:marLeft w:val="0"/>
                      <w:marRight w:val="0"/>
                      <w:marTop w:val="0"/>
                      <w:marBottom w:val="0"/>
                      <w:divBdr>
                        <w:top w:val="none" w:sz="0" w:space="0" w:color="auto"/>
                        <w:left w:val="none" w:sz="0" w:space="0" w:color="auto"/>
                        <w:bottom w:val="none" w:sz="0" w:space="0" w:color="auto"/>
                        <w:right w:val="none" w:sz="0" w:space="0" w:color="auto"/>
                      </w:divBdr>
                      <w:divsChild>
                        <w:div w:id="1200239863">
                          <w:marLeft w:val="0"/>
                          <w:marRight w:val="0"/>
                          <w:marTop w:val="0"/>
                          <w:marBottom w:val="0"/>
                          <w:divBdr>
                            <w:top w:val="none" w:sz="0" w:space="0" w:color="auto"/>
                            <w:left w:val="none" w:sz="0" w:space="0" w:color="auto"/>
                            <w:bottom w:val="none" w:sz="0" w:space="0" w:color="auto"/>
                            <w:right w:val="none" w:sz="0" w:space="0" w:color="auto"/>
                          </w:divBdr>
                          <w:divsChild>
                            <w:div w:id="9833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665419">
                      <w:marLeft w:val="0"/>
                      <w:marRight w:val="0"/>
                      <w:marTop w:val="0"/>
                      <w:marBottom w:val="0"/>
                      <w:divBdr>
                        <w:top w:val="none" w:sz="0" w:space="0" w:color="auto"/>
                        <w:left w:val="none" w:sz="0" w:space="0" w:color="auto"/>
                        <w:bottom w:val="none" w:sz="0" w:space="0" w:color="auto"/>
                        <w:right w:val="none" w:sz="0" w:space="0" w:color="auto"/>
                      </w:divBdr>
                      <w:divsChild>
                        <w:div w:id="2013602767">
                          <w:marLeft w:val="0"/>
                          <w:marRight w:val="0"/>
                          <w:marTop w:val="0"/>
                          <w:marBottom w:val="0"/>
                          <w:divBdr>
                            <w:top w:val="none" w:sz="0" w:space="0" w:color="auto"/>
                            <w:left w:val="none" w:sz="0" w:space="0" w:color="auto"/>
                            <w:bottom w:val="none" w:sz="0" w:space="0" w:color="auto"/>
                            <w:right w:val="none" w:sz="0" w:space="0" w:color="auto"/>
                          </w:divBdr>
                          <w:divsChild>
                            <w:div w:id="423382852">
                              <w:marLeft w:val="0"/>
                              <w:marRight w:val="0"/>
                              <w:marTop w:val="0"/>
                              <w:marBottom w:val="0"/>
                              <w:divBdr>
                                <w:top w:val="none" w:sz="0" w:space="0" w:color="auto"/>
                                <w:left w:val="none" w:sz="0" w:space="0" w:color="auto"/>
                                <w:bottom w:val="none" w:sz="0" w:space="0" w:color="auto"/>
                                <w:right w:val="none" w:sz="0" w:space="0" w:color="auto"/>
                              </w:divBdr>
                              <w:divsChild>
                                <w:div w:id="55339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193848">
      <w:bodyDiv w:val="1"/>
      <w:marLeft w:val="0"/>
      <w:marRight w:val="0"/>
      <w:marTop w:val="0"/>
      <w:marBottom w:val="0"/>
      <w:divBdr>
        <w:top w:val="none" w:sz="0" w:space="0" w:color="auto"/>
        <w:left w:val="none" w:sz="0" w:space="0" w:color="auto"/>
        <w:bottom w:val="none" w:sz="0" w:space="0" w:color="auto"/>
        <w:right w:val="none" w:sz="0" w:space="0" w:color="auto"/>
      </w:divBdr>
    </w:div>
    <w:div w:id="911306740">
      <w:bodyDiv w:val="1"/>
      <w:marLeft w:val="0"/>
      <w:marRight w:val="0"/>
      <w:marTop w:val="0"/>
      <w:marBottom w:val="0"/>
      <w:divBdr>
        <w:top w:val="none" w:sz="0" w:space="0" w:color="auto"/>
        <w:left w:val="none" w:sz="0" w:space="0" w:color="auto"/>
        <w:bottom w:val="none" w:sz="0" w:space="0" w:color="auto"/>
        <w:right w:val="none" w:sz="0" w:space="0" w:color="auto"/>
      </w:divBdr>
    </w:div>
    <w:div w:id="912590424">
      <w:bodyDiv w:val="1"/>
      <w:marLeft w:val="0"/>
      <w:marRight w:val="0"/>
      <w:marTop w:val="0"/>
      <w:marBottom w:val="0"/>
      <w:divBdr>
        <w:top w:val="none" w:sz="0" w:space="0" w:color="auto"/>
        <w:left w:val="none" w:sz="0" w:space="0" w:color="auto"/>
        <w:bottom w:val="none" w:sz="0" w:space="0" w:color="auto"/>
        <w:right w:val="none" w:sz="0" w:space="0" w:color="auto"/>
      </w:divBdr>
    </w:div>
    <w:div w:id="913708944">
      <w:bodyDiv w:val="1"/>
      <w:marLeft w:val="0"/>
      <w:marRight w:val="0"/>
      <w:marTop w:val="0"/>
      <w:marBottom w:val="0"/>
      <w:divBdr>
        <w:top w:val="none" w:sz="0" w:space="0" w:color="auto"/>
        <w:left w:val="none" w:sz="0" w:space="0" w:color="auto"/>
        <w:bottom w:val="none" w:sz="0" w:space="0" w:color="auto"/>
        <w:right w:val="none" w:sz="0" w:space="0" w:color="auto"/>
      </w:divBdr>
    </w:div>
    <w:div w:id="916088131">
      <w:bodyDiv w:val="1"/>
      <w:marLeft w:val="0"/>
      <w:marRight w:val="0"/>
      <w:marTop w:val="0"/>
      <w:marBottom w:val="0"/>
      <w:divBdr>
        <w:top w:val="none" w:sz="0" w:space="0" w:color="auto"/>
        <w:left w:val="none" w:sz="0" w:space="0" w:color="auto"/>
        <w:bottom w:val="none" w:sz="0" w:space="0" w:color="auto"/>
        <w:right w:val="none" w:sz="0" w:space="0" w:color="auto"/>
      </w:divBdr>
    </w:div>
    <w:div w:id="918059973">
      <w:bodyDiv w:val="1"/>
      <w:marLeft w:val="0"/>
      <w:marRight w:val="0"/>
      <w:marTop w:val="0"/>
      <w:marBottom w:val="0"/>
      <w:divBdr>
        <w:top w:val="none" w:sz="0" w:space="0" w:color="auto"/>
        <w:left w:val="none" w:sz="0" w:space="0" w:color="auto"/>
        <w:bottom w:val="none" w:sz="0" w:space="0" w:color="auto"/>
        <w:right w:val="none" w:sz="0" w:space="0" w:color="auto"/>
      </w:divBdr>
    </w:div>
    <w:div w:id="923876252">
      <w:bodyDiv w:val="1"/>
      <w:marLeft w:val="0"/>
      <w:marRight w:val="0"/>
      <w:marTop w:val="0"/>
      <w:marBottom w:val="0"/>
      <w:divBdr>
        <w:top w:val="none" w:sz="0" w:space="0" w:color="auto"/>
        <w:left w:val="none" w:sz="0" w:space="0" w:color="auto"/>
        <w:bottom w:val="none" w:sz="0" w:space="0" w:color="auto"/>
        <w:right w:val="none" w:sz="0" w:space="0" w:color="auto"/>
      </w:divBdr>
    </w:div>
    <w:div w:id="925923865">
      <w:bodyDiv w:val="1"/>
      <w:marLeft w:val="0"/>
      <w:marRight w:val="0"/>
      <w:marTop w:val="0"/>
      <w:marBottom w:val="0"/>
      <w:divBdr>
        <w:top w:val="none" w:sz="0" w:space="0" w:color="auto"/>
        <w:left w:val="none" w:sz="0" w:space="0" w:color="auto"/>
        <w:bottom w:val="none" w:sz="0" w:space="0" w:color="auto"/>
        <w:right w:val="none" w:sz="0" w:space="0" w:color="auto"/>
      </w:divBdr>
      <w:divsChild>
        <w:div w:id="448620709">
          <w:marLeft w:val="0"/>
          <w:marRight w:val="0"/>
          <w:marTop w:val="0"/>
          <w:marBottom w:val="0"/>
          <w:divBdr>
            <w:top w:val="none" w:sz="0" w:space="0" w:color="auto"/>
            <w:left w:val="none" w:sz="0" w:space="0" w:color="auto"/>
            <w:bottom w:val="none" w:sz="0" w:space="0" w:color="auto"/>
            <w:right w:val="none" w:sz="0" w:space="0" w:color="auto"/>
          </w:divBdr>
          <w:divsChild>
            <w:div w:id="1397508798">
              <w:marLeft w:val="0"/>
              <w:marRight w:val="0"/>
              <w:marTop w:val="0"/>
              <w:marBottom w:val="0"/>
              <w:divBdr>
                <w:top w:val="none" w:sz="0" w:space="0" w:color="auto"/>
                <w:left w:val="none" w:sz="0" w:space="0" w:color="auto"/>
                <w:bottom w:val="none" w:sz="0" w:space="0" w:color="auto"/>
                <w:right w:val="none" w:sz="0" w:space="0" w:color="auto"/>
              </w:divBdr>
              <w:divsChild>
                <w:div w:id="255482762">
                  <w:marLeft w:val="0"/>
                  <w:marRight w:val="0"/>
                  <w:marTop w:val="0"/>
                  <w:marBottom w:val="0"/>
                  <w:divBdr>
                    <w:top w:val="none" w:sz="0" w:space="0" w:color="auto"/>
                    <w:left w:val="none" w:sz="0" w:space="0" w:color="auto"/>
                    <w:bottom w:val="none" w:sz="0" w:space="0" w:color="auto"/>
                    <w:right w:val="none" w:sz="0" w:space="0" w:color="auto"/>
                  </w:divBdr>
                </w:div>
              </w:divsChild>
            </w:div>
            <w:div w:id="1462653598">
              <w:marLeft w:val="0"/>
              <w:marRight w:val="0"/>
              <w:marTop w:val="0"/>
              <w:marBottom w:val="0"/>
              <w:divBdr>
                <w:top w:val="none" w:sz="0" w:space="0" w:color="auto"/>
                <w:left w:val="none" w:sz="0" w:space="0" w:color="auto"/>
                <w:bottom w:val="none" w:sz="0" w:space="0" w:color="auto"/>
                <w:right w:val="none" w:sz="0" w:space="0" w:color="auto"/>
              </w:divBdr>
              <w:divsChild>
                <w:div w:id="180778188">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928853006">
      <w:bodyDiv w:val="1"/>
      <w:marLeft w:val="0"/>
      <w:marRight w:val="0"/>
      <w:marTop w:val="0"/>
      <w:marBottom w:val="0"/>
      <w:divBdr>
        <w:top w:val="none" w:sz="0" w:space="0" w:color="auto"/>
        <w:left w:val="none" w:sz="0" w:space="0" w:color="auto"/>
        <w:bottom w:val="none" w:sz="0" w:space="0" w:color="auto"/>
        <w:right w:val="none" w:sz="0" w:space="0" w:color="auto"/>
      </w:divBdr>
    </w:div>
    <w:div w:id="937755487">
      <w:bodyDiv w:val="1"/>
      <w:marLeft w:val="0"/>
      <w:marRight w:val="0"/>
      <w:marTop w:val="0"/>
      <w:marBottom w:val="0"/>
      <w:divBdr>
        <w:top w:val="none" w:sz="0" w:space="0" w:color="auto"/>
        <w:left w:val="none" w:sz="0" w:space="0" w:color="auto"/>
        <w:bottom w:val="none" w:sz="0" w:space="0" w:color="auto"/>
        <w:right w:val="none" w:sz="0" w:space="0" w:color="auto"/>
      </w:divBdr>
    </w:div>
    <w:div w:id="942616916">
      <w:bodyDiv w:val="1"/>
      <w:marLeft w:val="0"/>
      <w:marRight w:val="0"/>
      <w:marTop w:val="0"/>
      <w:marBottom w:val="0"/>
      <w:divBdr>
        <w:top w:val="none" w:sz="0" w:space="0" w:color="auto"/>
        <w:left w:val="none" w:sz="0" w:space="0" w:color="auto"/>
        <w:bottom w:val="none" w:sz="0" w:space="0" w:color="auto"/>
        <w:right w:val="none" w:sz="0" w:space="0" w:color="auto"/>
      </w:divBdr>
    </w:div>
    <w:div w:id="945963187">
      <w:bodyDiv w:val="1"/>
      <w:marLeft w:val="0"/>
      <w:marRight w:val="0"/>
      <w:marTop w:val="0"/>
      <w:marBottom w:val="0"/>
      <w:divBdr>
        <w:top w:val="none" w:sz="0" w:space="0" w:color="auto"/>
        <w:left w:val="none" w:sz="0" w:space="0" w:color="auto"/>
        <w:bottom w:val="none" w:sz="0" w:space="0" w:color="auto"/>
        <w:right w:val="none" w:sz="0" w:space="0" w:color="auto"/>
      </w:divBdr>
    </w:div>
    <w:div w:id="954362133">
      <w:bodyDiv w:val="1"/>
      <w:marLeft w:val="0"/>
      <w:marRight w:val="0"/>
      <w:marTop w:val="0"/>
      <w:marBottom w:val="0"/>
      <w:divBdr>
        <w:top w:val="none" w:sz="0" w:space="0" w:color="auto"/>
        <w:left w:val="none" w:sz="0" w:space="0" w:color="auto"/>
        <w:bottom w:val="none" w:sz="0" w:space="0" w:color="auto"/>
        <w:right w:val="none" w:sz="0" w:space="0" w:color="auto"/>
      </w:divBdr>
    </w:div>
    <w:div w:id="954822592">
      <w:bodyDiv w:val="1"/>
      <w:marLeft w:val="0"/>
      <w:marRight w:val="0"/>
      <w:marTop w:val="0"/>
      <w:marBottom w:val="0"/>
      <w:divBdr>
        <w:top w:val="none" w:sz="0" w:space="0" w:color="auto"/>
        <w:left w:val="none" w:sz="0" w:space="0" w:color="auto"/>
        <w:bottom w:val="none" w:sz="0" w:space="0" w:color="auto"/>
        <w:right w:val="none" w:sz="0" w:space="0" w:color="auto"/>
      </w:divBdr>
    </w:div>
    <w:div w:id="959802662">
      <w:bodyDiv w:val="1"/>
      <w:marLeft w:val="0"/>
      <w:marRight w:val="0"/>
      <w:marTop w:val="0"/>
      <w:marBottom w:val="0"/>
      <w:divBdr>
        <w:top w:val="none" w:sz="0" w:space="0" w:color="auto"/>
        <w:left w:val="none" w:sz="0" w:space="0" w:color="auto"/>
        <w:bottom w:val="none" w:sz="0" w:space="0" w:color="auto"/>
        <w:right w:val="none" w:sz="0" w:space="0" w:color="auto"/>
      </w:divBdr>
    </w:div>
    <w:div w:id="967398646">
      <w:bodyDiv w:val="1"/>
      <w:marLeft w:val="0"/>
      <w:marRight w:val="0"/>
      <w:marTop w:val="0"/>
      <w:marBottom w:val="0"/>
      <w:divBdr>
        <w:top w:val="none" w:sz="0" w:space="0" w:color="auto"/>
        <w:left w:val="none" w:sz="0" w:space="0" w:color="auto"/>
        <w:bottom w:val="none" w:sz="0" w:space="0" w:color="auto"/>
        <w:right w:val="none" w:sz="0" w:space="0" w:color="auto"/>
      </w:divBdr>
    </w:div>
    <w:div w:id="967977278">
      <w:bodyDiv w:val="1"/>
      <w:marLeft w:val="0"/>
      <w:marRight w:val="0"/>
      <w:marTop w:val="0"/>
      <w:marBottom w:val="0"/>
      <w:divBdr>
        <w:top w:val="none" w:sz="0" w:space="0" w:color="auto"/>
        <w:left w:val="none" w:sz="0" w:space="0" w:color="auto"/>
        <w:bottom w:val="none" w:sz="0" w:space="0" w:color="auto"/>
        <w:right w:val="none" w:sz="0" w:space="0" w:color="auto"/>
      </w:divBdr>
    </w:div>
    <w:div w:id="993023042">
      <w:bodyDiv w:val="1"/>
      <w:marLeft w:val="0"/>
      <w:marRight w:val="0"/>
      <w:marTop w:val="0"/>
      <w:marBottom w:val="0"/>
      <w:divBdr>
        <w:top w:val="none" w:sz="0" w:space="0" w:color="auto"/>
        <w:left w:val="none" w:sz="0" w:space="0" w:color="auto"/>
        <w:bottom w:val="none" w:sz="0" w:space="0" w:color="auto"/>
        <w:right w:val="none" w:sz="0" w:space="0" w:color="auto"/>
      </w:divBdr>
    </w:div>
    <w:div w:id="1005981284">
      <w:bodyDiv w:val="1"/>
      <w:marLeft w:val="0"/>
      <w:marRight w:val="0"/>
      <w:marTop w:val="0"/>
      <w:marBottom w:val="0"/>
      <w:divBdr>
        <w:top w:val="none" w:sz="0" w:space="0" w:color="auto"/>
        <w:left w:val="none" w:sz="0" w:space="0" w:color="auto"/>
        <w:bottom w:val="none" w:sz="0" w:space="0" w:color="auto"/>
        <w:right w:val="none" w:sz="0" w:space="0" w:color="auto"/>
      </w:divBdr>
    </w:div>
    <w:div w:id="1035156732">
      <w:bodyDiv w:val="1"/>
      <w:marLeft w:val="0"/>
      <w:marRight w:val="0"/>
      <w:marTop w:val="0"/>
      <w:marBottom w:val="0"/>
      <w:divBdr>
        <w:top w:val="none" w:sz="0" w:space="0" w:color="auto"/>
        <w:left w:val="none" w:sz="0" w:space="0" w:color="auto"/>
        <w:bottom w:val="none" w:sz="0" w:space="0" w:color="auto"/>
        <w:right w:val="none" w:sz="0" w:space="0" w:color="auto"/>
      </w:divBdr>
    </w:div>
    <w:div w:id="1040059371">
      <w:bodyDiv w:val="1"/>
      <w:marLeft w:val="0"/>
      <w:marRight w:val="0"/>
      <w:marTop w:val="0"/>
      <w:marBottom w:val="0"/>
      <w:divBdr>
        <w:top w:val="none" w:sz="0" w:space="0" w:color="auto"/>
        <w:left w:val="none" w:sz="0" w:space="0" w:color="auto"/>
        <w:bottom w:val="none" w:sz="0" w:space="0" w:color="auto"/>
        <w:right w:val="none" w:sz="0" w:space="0" w:color="auto"/>
      </w:divBdr>
    </w:div>
    <w:div w:id="1042825768">
      <w:bodyDiv w:val="1"/>
      <w:marLeft w:val="0"/>
      <w:marRight w:val="0"/>
      <w:marTop w:val="0"/>
      <w:marBottom w:val="0"/>
      <w:divBdr>
        <w:top w:val="none" w:sz="0" w:space="0" w:color="auto"/>
        <w:left w:val="none" w:sz="0" w:space="0" w:color="auto"/>
        <w:bottom w:val="none" w:sz="0" w:space="0" w:color="auto"/>
        <w:right w:val="none" w:sz="0" w:space="0" w:color="auto"/>
      </w:divBdr>
    </w:div>
    <w:div w:id="1043747961">
      <w:bodyDiv w:val="1"/>
      <w:marLeft w:val="0"/>
      <w:marRight w:val="0"/>
      <w:marTop w:val="0"/>
      <w:marBottom w:val="0"/>
      <w:divBdr>
        <w:top w:val="none" w:sz="0" w:space="0" w:color="auto"/>
        <w:left w:val="none" w:sz="0" w:space="0" w:color="auto"/>
        <w:bottom w:val="none" w:sz="0" w:space="0" w:color="auto"/>
        <w:right w:val="none" w:sz="0" w:space="0" w:color="auto"/>
      </w:divBdr>
    </w:div>
    <w:div w:id="1056976690">
      <w:bodyDiv w:val="1"/>
      <w:marLeft w:val="0"/>
      <w:marRight w:val="0"/>
      <w:marTop w:val="0"/>
      <w:marBottom w:val="0"/>
      <w:divBdr>
        <w:top w:val="none" w:sz="0" w:space="0" w:color="auto"/>
        <w:left w:val="none" w:sz="0" w:space="0" w:color="auto"/>
        <w:bottom w:val="none" w:sz="0" w:space="0" w:color="auto"/>
        <w:right w:val="none" w:sz="0" w:space="0" w:color="auto"/>
      </w:divBdr>
    </w:div>
    <w:div w:id="1059475356">
      <w:bodyDiv w:val="1"/>
      <w:marLeft w:val="0"/>
      <w:marRight w:val="0"/>
      <w:marTop w:val="0"/>
      <w:marBottom w:val="0"/>
      <w:divBdr>
        <w:top w:val="none" w:sz="0" w:space="0" w:color="auto"/>
        <w:left w:val="none" w:sz="0" w:space="0" w:color="auto"/>
        <w:bottom w:val="none" w:sz="0" w:space="0" w:color="auto"/>
        <w:right w:val="none" w:sz="0" w:space="0" w:color="auto"/>
      </w:divBdr>
    </w:div>
    <w:div w:id="1099056939">
      <w:bodyDiv w:val="1"/>
      <w:marLeft w:val="0"/>
      <w:marRight w:val="0"/>
      <w:marTop w:val="0"/>
      <w:marBottom w:val="0"/>
      <w:divBdr>
        <w:top w:val="none" w:sz="0" w:space="0" w:color="auto"/>
        <w:left w:val="none" w:sz="0" w:space="0" w:color="auto"/>
        <w:bottom w:val="none" w:sz="0" w:space="0" w:color="auto"/>
        <w:right w:val="none" w:sz="0" w:space="0" w:color="auto"/>
      </w:divBdr>
    </w:div>
    <w:div w:id="1104767019">
      <w:bodyDiv w:val="1"/>
      <w:marLeft w:val="0"/>
      <w:marRight w:val="0"/>
      <w:marTop w:val="0"/>
      <w:marBottom w:val="0"/>
      <w:divBdr>
        <w:top w:val="none" w:sz="0" w:space="0" w:color="auto"/>
        <w:left w:val="none" w:sz="0" w:space="0" w:color="auto"/>
        <w:bottom w:val="none" w:sz="0" w:space="0" w:color="auto"/>
        <w:right w:val="none" w:sz="0" w:space="0" w:color="auto"/>
      </w:divBdr>
    </w:div>
    <w:div w:id="1106579857">
      <w:bodyDiv w:val="1"/>
      <w:marLeft w:val="0"/>
      <w:marRight w:val="0"/>
      <w:marTop w:val="0"/>
      <w:marBottom w:val="0"/>
      <w:divBdr>
        <w:top w:val="none" w:sz="0" w:space="0" w:color="auto"/>
        <w:left w:val="none" w:sz="0" w:space="0" w:color="auto"/>
        <w:bottom w:val="none" w:sz="0" w:space="0" w:color="auto"/>
        <w:right w:val="none" w:sz="0" w:space="0" w:color="auto"/>
      </w:divBdr>
    </w:div>
    <w:div w:id="1124693816">
      <w:bodyDiv w:val="1"/>
      <w:marLeft w:val="0"/>
      <w:marRight w:val="0"/>
      <w:marTop w:val="0"/>
      <w:marBottom w:val="0"/>
      <w:divBdr>
        <w:top w:val="none" w:sz="0" w:space="0" w:color="auto"/>
        <w:left w:val="none" w:sz="0" w:space="0" w:color="auto"/>
        <w:bottom w:val="none" w:sz="0" w:space="0" w:color="auto"/>
        <w:right w:val="none" w:sz="0" w:space="0" w:color="auto"/>
      </w:divBdr>
    </w:div>
    <w:div w:id="1131900737">
      <w:bodyDiv w:val="1"/>
      <w:marLeft w:val="0"/>
      <w:marRight w:val="0"/>
      <w:marTop w:val="0"/>
      <w:marBottom w:val="0"/>
      <w:divBdr>
        <w:top w:val="none" w:sz="0" w:space="0" w:color="auto"/>
        <w:left w:val="none" w:sz="0" w:space="0" w:color="auto"/>
        <w:bottom w:val="none" w:sz="0" w:space="0" w:color="auto"/>
        <w:right w:val="none" w:sz="0" w:space="0" w:color="auto"/>
      </w:divBdr>
    </w:div>
    <w:div w:id="1134911609">
      <w:bodyDiv w:val="1"/>
      <w:marLeft w:val="0"/>
      <w:marRight w:val="0"/>
      <w:marTop w:val="0"/>
      <w:marBottom w:val="0"/>
      <w:divBdr>
        <w:top w:val="none" w:sz="0" w:space="0" w:color="auto"/>
        <w:left w:val="none" w:sz="0" w:space="0" w:color="auto"/>
        <w:bottom w:val="none" w:sz="0" w:space="0" w:color="auto"/>
        <w:right w:val="none" w:sz="0" w:space="0" w:color="auto"/>
      </w:divBdr>
    </w:div>
    <w:div w:id="1138187618">
      <w:bodyDiv w:val="1"/>
      <w:marLeft w:val="0"/>
      <w:marRight w:val="0"/>
      <w:marTop w:val="0"/>
      <w:marBottom w:val="0"/>
      <w:divBdr>
        <w:top w:val="none" w:sz="0" w:space="0" w:color="auto"/>
        <w:left w:val="none" w:sz="0" w:space="0" w:color="auto"/>
        <w:bottom w:val="none" w:sz="0" w:space="0" w:color="auto"/>
        <w:right w:val="none" w:sz="0" w:space="0" w:color="auto"/>
      </w:divBdr>
      <w:divsChild>
        <w:div w:id="226578282">
          <w:marLeft w:val="0"/>
          <w:marRight w:val="0"/>
          <w:marTop w:val="0"/>
          <w:marBottom w:val="0"/>
          <w:divBdr>
            <w:top w:val="none" w:sz="0" w:space="0" w:color="auto"/>
            <w:left w:val="none" w:sz="0" w:space="0" w:color="auto"/>
            <w:bottom w:val="none" w:sz="0" w:space="0" w:color="auto"/>
            <w:right w:val="none" w:sz="0" w:space="0" w:color="auto"/>
          </w:divBdr>
          <w:divsChild>
            <w:div w:id="2525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010877">
      <w:bodyDiv w:val="1"/>
      <w:marLeft w:val="0"/>
      <w:marRight w:val="0"/>
      <w:marTop w:val="0"/>
      <w:marBottom w:val="0"/>
      <w:divBdr>
        <w:top w:val="none" w:sz="0" w:space="0" w:color="auto"/>
        <w:left w:val="none" w:sz="0" w:space="0" w:color="auto"/>
        <w:bottom w:val="none" w:sz="0" w:space="0" w:color="auto"/>
        <w:right w:val="none" w:sz="0" w:space="0" w:color="auto"/>
      </w:divBdr>
    </w:div>
    <w:div w:id="1162504736">
      <w:bodyDiv w:val="1"/>
      <w:marLeft w:val="0"/>
      <w:marRight w:val="0"/>
      <w:marTop w:val="0"/>
      <w:marBottom w:val="0"/>
      <w:divBdr>
        <w:top w:val="none" w:sz="0" w:space="0" w:color="auto"/>
        <w:left w:val="none" w:sz="0" w:space="0" w:color="auto"/>
        <w:bottom w:val="none" w:sz="0" w:space="0" w:color="auto"/>
        <w:right w:val="none" w:sz="0" w:space="0" w:color="auto"/>
      </w:divBdr>
    </w:div>
    <w:div w:id="1181044275">
      <w:bodyDiv w:val="1"/>
      <w:marLeft w:val="0"/>
      <w:marRight w:val="0"/>
      <w:marTop w:val="0"/>
      <w:marBottom w:val="0"/>
      <w:divBdr>
        <w:top w:val="none" w:sz="0" w:space="0" w:color="auto"/>
        <w:left w:val="none" w:sz="0" w:space="0" w:color="auto"/>
        <w:bottom w:val="none" w:sz="0" w:space="0" w:color="auto"/>
        <w:right w:val="none" w:sz="0" w:space="0" w:color="auto"/>
      </w:divBdr>
    </w:div>
    <w:div w:id="1181894301">
      <w:bodyDiv w:val="1"/>
      <w:marLeft w:val="0"/>
      <w:marRight w:val="0"/>
      <w:marTop w:val="0"/>
      <w:marBottom w:val="0"/>
      <w:divBdr>
        <w:top w:val="none" w:sz="0" w:space="0" w:color="auto"/>
        <w:left w:val="none" w:sz="0" w:space="0" w:color="auto"/>
        <w:bottom w:val="none" w:sz="0" w:space="0" w:color="auto"/>
        <w:right w:val="none" w:sz="0" w:space="0" w:color="auto"/>
      </w:divBdr>
    </w:div>
    <w:div w:id="1188252395">
      <w:bodyDiv w:val="1"/>
      <w:marLeft w:val="0"/>
      <w:marRight w:val="0"/>
      <w:marTop w:val="0"/>
      <w:marBottom w:val="0"/>
      <w:divBdr>
        <w:top w:val="none" w:sz="0" w:space="0" w:color="auto"/>
        <w:left w:val="none" w:sz="0" w:space="0" w:color="auto"/>
        <w:bottom w:val="none" w:sz="0" w:space="0" w:color="auto"/>
        <w:right w:val="none" w:sz="0" w:space="0" w:color="auto"/>
      </w:divBdr>
    </w:div>
    <w:div w:id="1192261239">
      <w:bodyDiv w:val="1"/>
      <w:marLeft w:val="0"/>
      <w:marRight w:val="0"/>
      <w:marTop w:val="0"/>
      <w:marBottom w:val="0"/>
      <w:divBdr>
        <w:top w:val="none" w:sz="0" w:space="0" w:color="auto"/>
        <w:left w:val="none" w:sz="0" w:space="0" w:color="auto"/>
        <w:bottom w:val="none" w:sz="0" w:space="0" w:color="auto"/>
        <w:right w:val="none" w:sz="0" w:space="0" w:color="auto"/>
      </w:divBdr>
    </w:div>
    <w:div w:id="1201086427">
      <w:bodyDiv w:val="1"/>
      <w:marLeft w:val="0"/>
      <w:marRight w:val="0"/>
      <w:marTop w:val="0"/>
      <w:marBottom w:val="0"/>
      <w:divBdr>
        <w:top w:val="none" w:sz="0" w:space="0" w:color="auto"/>
        <w:left w:val="none" w:sz="0" w:space="0" w:color="auto"/>
        <w:bottom w:val="none" w:sz="0" w:space="0" w:color="auto"/>
        <w:right w:val="none" w:sz="0" w:space="0" w:color="auto"/>
      </w:divBdr>
    </w:div>
    <w:div w:id="1209416351">
      <w:bodyDiv w:val="1"/>
      <w:marLeft w:val="0"/>
      <w:marRight w:val="0"/>
      <w:marTop w:val="0"/>
      <w:marBottom w:val="0"/>
      <w:divBdr>
        <w:top w:val="none" w:sz="0" w:space="0" w:color="auto"/>
        <w:left w:val="none" w:sz="0" w:space="0" w:color="auto"/>
        <w:bottom w:val="none" w:sz="0" w:space="0" w:color="auto"/>
        <w:right w:val="none" w:sz="0" w:space="0" w:color="auto"/>
      </w:divBdr>
    </w:div>
    <w:div w:id="1215585281">
      <w:bodyDiv w:val="1"/>
      <w:marLeft w:val="0"/>
      <w:marRight w:val="0"/>
      <w:marTop w:val="0"/>
      <w:marBottom w:val="0"/>
      <w:divBdr>
        <w:top w:val="none" w:sz="0" w:space="0" w:color="auto"/>
        <w:left w:val="none" w:sz="0" w:space="0" w:color="auto"/>
        <w:bottom w:val="none" w:sz="0" w:space="0" w:color="auto"/>
        <w:right w:val="none" w:sz="0" w:space="0" w:color="auto"/>
      </w:divBdr>
    </w:div>
    <w:div w:id="1218469782">
      <w:bodyDiv w:val="1"/>
      <w:marLeft w:val="0"/>
      <w:marRight w:val="0"/>
      <w:marTop w:val="0"/>
      <w:marBottom w:val="0"/>
      <w:divBdr>
        <w:top w:val="none" w:sz="0" w:space="0" w:color="auto"/>
        <w:left w:val="none" w:sz="0" w:space="0" w:color="auto"/>
        <w:bottom w:val="none" w:sz="0" w:space="0" w:color="auto"/>
        <w:right w:val="none" w:sz="0" w:space="0" w:color="auto"/>
      </w:divBdr>
    </w:div>
    <w:div w:id="1220897486">
      <w:bodyDiv w:val="1"/>
      <w:marLeft w:val="0"/>
      <w:marRight w:val="0"/>
      <w:marTop w:val="0"/>
      <w:marBottom w:val="0"/>
      <w:divBdr>
        <w:top w:val="none" w:sz="0" w:space="0" w:color="auto"/>
        <w:left w:val="none" w:sz="0" w:space="0" w:color="auto"/>
        <w:bottom w:val="none" w:sz="0" w:space="0" w:color="auto"/>
        <w:right w:val="none" w:sz="0" w:space="0" w:color="auto"/>
      </w:divBdr>
    </w:div>
    <w:div w:id="1239250441">
      <w:bodyDiv w:val="1"/>
      <w:marLeft w:val="0"/>
      <w:marRight w:val="0"/>
      <w:marTop w:val="0"/>
      <w:marBottom w:val="0"/>
      <w:divBdr>
        <w:top w:val="none" w:sz="0" w:space="0" w:color="auto"/>
        <w:left w:val="none" w:sz="0" w:space="0" w:color="auto"/>
        <w:bottom w:val="none" w:sz="0" w:space="0" w:color="auto"/>
        <w:right w:val="none" w:sz="0" w:space="0" w:color="auto"/>
      </w:divBdr>
    </w:div>
    <w:div w:id="1242713254">
      <w:bodyDiv w:val="1"/>
      <w:marLeft w:val="0"/>
      <w:marRight w:val="0"/>
      <w:marTop w:val="0"/>
      <w:marBottom w:val="0"/>
      <w:divBdr>
        <w:top w:val="none" w:sz="0" w:space="0" w:color="auto"/>
        <w:left w:val="none" w:sz="0" w:space="0" w:color="auto"/>
        <w:bottom w:val="none" w:sz="0" w:space="0" w:color="auto"/>
        <w:right w:val="none" w:sz="0" w:space="0" w:color="auto"/>
      </w:divBdr>
      <w:divsChild>
        <w:div w:id="572859023">
          <w:marLeft w:val="0"/>
          <w:marRight w:val="0"/>
          <w:marTop w:val="0"/>
          <w:marBottom w:val="0"/>
          <w:divBdr>
            <w:top w:val="none" w:sz="0" w:space="0" w:color="auto"/>
            <w:left w:val="none" w:sz="0" w:space="0" w:color="auto"/>
            <w:bottom w:val="none" w:sz="0" w:space="0" w:color="auto"/>
            <w:right w:val="none" w:sz="0" w:space="0" w:color="auto"/>
          </w:divBdr>
          <w:divsChild>
            <w:div w:id="517275665">
              <w:marLeft w:val="0"/>
              <w:marRight w:val="0"/>
              <w:marTop w:val="0"/>
              <w:marBottom w:val="0"/>
              <w:divBdr>
                <w:top w:val="none" w:sz="0" w:space="0" w:color="auto"/>
                <w:left w:val="none" w:sz="0" w:space="0" w:color="auto"/>
                <w:bottom w:val="none" w:sz="0" w:space="0" w:color="auto"/>
                <w:right w:val="none" w:sz="0" w:space="0" w:color="auto"/>
              </w:divBdr>
              <w:divsChild>
                <w:div w:id="200739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695900">
      <w:bodyDiv w:val="1"/>
      <w:marLeft w:val="0"/>
      <w:marRight w:val="0"/>
      <w:marTop w:val="0"/>
      <w:marBottom w:val="0"/>
      <w:divBdr>
        <w:top w:val="none" w:sz="0" w:space="0" w:color="auto"/>
        <w:left w:val="none" w:sz="0" w:space="0" w:color="auto"/>
        <w:bottom w:val="none" w:sz="0" w:space="0" w:color="auto"/>
        <w:right w:val="none" w:sz="0" w:space="0" w:color="auto"/>
      </w:divBdr>
    </w:div>
    <w:div w:id="1251348772">
      <w:bodyDiv w:val="1"/>
      <w:marLeft w:val="0"/>
      <w:marRight w:val="0"/>
      <w:marTop w:val="0"/>
      <w:marBottom w:val="0"/>
      <w:divBdr>
        <w:top w:val="none" w:sz="0" w:space="0" w:color="auto"/>
        <w:left w:val="none" w:sz="0" w:space="0" w:color="auto"/>
        <w:bottom w:val="none" w:sz="0" w:space="0" w:color="auto"/>
        <w:right w:val="none" w:sz="0" w:space="0" w:color="auto"/>
      </w:divBdr>
    </w:div>
    <w:div w:id="1261253438">
      <w:bodyDiv w:val="1"/>
      <w:marLeft w:val="0"/>
      <w:marRight w:val="0"/>
      <w:marTop w:val="0"/>
      <w:marBottom w:val="0"/>
      <w:divBdr>
        <w:top w:val="none" w:sz="0" w:space="0" w:color="auto"/>
        <w:left w:val="none" w:sz="0" w:space="0" w:color="auto"/>
        <w:bottom w:val="none" w:sz="0" w:space="0" w:color="auto"/>
        <w:right w:val="none" w:sz="0" w:space="0" w:color="auto"/>
      </w:divBdr>
    </w:div>
    <w:div w:id="1270578972">
      <w:bodyDiv w:val="1"/>
      <w:marLeft w:val="0"/>
      <w:marRight w:val="0"/>
      <w:marTop w:val="0"/>
      <w:marBottom w:val="0"/>
      <w:divBdr>
        <w:top w:val="none" w:sz="0" w:space="0" w:color="auto"/>
        <w:left w:val="none" w:sz="0" w:space="0" w:color="auto"/>
        <w:bottom w:val="none" w:sz="0" w:space="0" w:color="auto"/>
        <w:right w:val="none" w:sz="0" w:space="0" w:color="auto"/>
      </w:divBdr>
    </w:div>
    <w:div w:id="1293828085">
      <w:bodyDiv w:val="1"/>
      <w:marLeft w:val="0"/>
      <w:marRight w:val="0"/>
      <w:marTop w:val="0"/>
      <w:marBottom w:val="0"/>
      <w:divBdr>
        <w:top w:val="none" w:sz="0" w:space="0" w:color="auto"/>
        <w:left w:val="none" w:sz="0" w:space="0" w:color="auto"/>
        <w:bottom w:val="none" w:sz="0" w:space="0" w:color="auto"/>
        <w:right w:val="none" w:sz="0" w:space="0" w:color="auto"/>
      </w:divBdr>
    </w:div>
    <w:div w:id="1299804570">
      <w:bodyDiv w:val="1"/>
      <w:marLeft w:val="0"/>
      <w:marRight w:val="0"/>
      <w:marTop w:val="0"/>
      <w:marBottom w:val="0"/>
      <w:divBdr>
        <w:top w:val="none" w:sz="0" w:space="0" w:color="auto"/>
        <w:left w:val="none" w:sz="0" w:space="0" w:color="auto"/>
        <w:bottom w:val="none" w:sz="0" w:space="0" w:color="auto"/>
        <w:right w:val="none" w:sz="0" w:space="0" w:color="auto"/>
      </w:divBdr>
    </w:div>
    <w:div w:id="1312250290">
      <w:bodyDiv w:val="1"/>
      <w:marLeft w:val="0"/>
      <w:marRight w:val="0"/>
      <w:marTop w:val="0"/>
      <w:marBottom w:val="0"/>
      <w:divBdr>
        <w:top w:val="none" w:sz="0" w:space="0" w:color="auto"/>
        <w:left w:val="none" w:sz="0" w:space="0" w:color="auto"/>
        <w:bottom w:val="none" w:sz="0" w:space="0" w:color="auto"/>
        <w:right w:val="none" w:sz="0" w:space="0" w:color="auto"/>
      </w:divBdr>
    </w:div>
    <w:div w:id="1316492416">
      <w:bodyDiv w:val="1"/>
      <w:marLeft w:val="0"/>
      <w:marRight w:val="0"/>
      <w:marTop w:val="0"/>
      <w:marBottom w:val="0"/>
      <w:divBdr>
        <w:top w:val="none" w:sz="0" w:space="0" w:color="auto"/>
        <w:left w:val="none" w:sz="0" w:space="0" w:color="auto"/>
        <w:bottom w:val="none" w:sz="0" w:space="0" w:color="auto"/>
        <w:right w:val="none" w:sz="0" w:space="0" w:color="auto"/>
      </w:divBdr>
    </w:div>
    <w:div w:id="1320692349">
      <w:bodyDiv w:val="1"/>
      <w:marLeft w:val="0"/>
      <w:marRight w:val="0"/>
      <w:marTop w:val="0"/>
      <w:marBottom w:val="0"/>
      <w:divBdr>
        <w:top w:val="none" w:sz="0" w:space="0" w:color="auto"/>
        <w:left w:val="none" w:sz="0" w:space="0" w:color="auto"/>
        <w:bottom w:val="none" w:sz="0" w:space="0" w:color="auto"/>
        <w:right w:val="none" w:sz="0" w:space="0" w:color="auto"/>
      </w:divBdr>
    </w:div>
    <w:div w:id="1326008177">
      <w:bodyDiv w:val="1"/>
      <w:marLeft w:val="0"/>
      <w:marRight w:val="0"/>
      <w:marTop w:val="0"/>
      <w:marBottom w:val="0"/>
      <w:divBdr>
        <w:top w:val="none" w:sz="0" w:space="0" w:color="auto"/>
        <w:left w:val="none" w:sz="0" w:space="0" w:color="auto"/>
        <w:bottom w:val="none" w:sz="0" w:space="0" w:color="auto"/>
        <w:right w:val="none" w:sz="0" w:space="0" w:color="auto"/>
      </w:divBdr>
    </w:div>
    <w:div w:id="1345672959">
      <w:bodyDiv w:val="1"/>
      <w:marLeft w:val="0"/>
      <w:marRight w:val="0"/>
      <w:marTop w:val="0"/>
      <w:marBottom w:val="0"/>
      <w:divBdr>
        <w:top w:val="none" w:sz="0" w:space="0" w:color="auto"/>
        <w:left w:val="none" w:sz="0" w:space="0" w:color="auto"/>
        <w:bottom w:val="none" w:sz="0" w:space="0" w:color="auto"/>
        <w:right w:val="none" w:sz="0" w:space="0" w:color="auto"/>
      </w:divBdr>
    </w:div>
    <w:div w:id="1361511952">
      <w:bodyDiv w:val="1"/>
      <w:marLeft w:val="0"/>
      <w:marRight w:val="0"/>
      <w:marTop w:val="0"/>
      <w:marBottom w:val="0"/>
      <w:divBdr>
        <w:top w:val="none" w:sz="0" w:space="0" w:color="auto"/>
        <w:left w:val="none" w:sz="0" w:space="0" w:color="auto"/>
        <w:bottom w:val="none" w:sz="0" w:space="0" w:color="auto"/>
        <w:right w:val="none" w:sz="0" w:space="0" w:color="auto"/>
      </w:divBdr>
    </w:div>
    <w:div w:id="1370255068">
      <w:bodyDiv w:val="1"/>
      <w:marLeft w:val="0"/>
      <w:marRight w:val="0"/>
      <w:marTop w:val="0"/>
      <w:marBottom w:val="0"/>
      <w:divBdr>
        <w:top w:val="none" w:sz="0" w:space="0" w:color="auto"/>
        <w:left w:val="none" w:sz="0" w:space="0" w:color="auto"/>
        <w:bottom w:val="none" w:sz="0" w:space="0" w:color="auto"/>
        <w:right w:val="none" w:sz="0" w:space="0" w:color="auto"/>
      </w:divBdr>
    </w:div>
    <w:div w:id="1385369572">
      <w:bodyDiv w:val="1"/>
      <w:marLeft w:val="0"/>
      <w:marRight w:val="0"/>
      <w:marTop w:val="0"/>
      <w:marBottom w:val="0"/>
      <w:divBdr>
        <w:top w:val="none" w:sz="0" w:space="0" w:color="auto"/>
        <w:left w:val="none" w:sz="0" w:space="0" w:color="auto"/>
        <w:bottom w:val="none" w:sz="0" w:space="0" w:color="auto"/>
        <w:right w:val="none" w:sz="0" w:space="0" w:color="auto"/>
      </w:divBdr>
      <w:divsChild>
        <w:div w:id="100537578">
          <w:marLeft w:val="0"/>
          <w:marRight w:val="0"/>
          <w:marTop w:val="0"/>
          <w:marBottom w:val="0"/>
          <w:divBdr>
            <w:top w:val="none" w:sz="0" w:space="0" w:color="auto"/>
            <w:left w:val="none" w:sz="0" w:space="0" w:color="auto"/>
            <w:bottom w:val="none" w:sz="0" w:space="0" w:color="auto"/>
            <w:right w:val="none" w:sz="0" w:space="0" w:color="auto"/>
          </w:divBdr>
          <w:divsChild>
            <w:div w:id="207881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029301">
      <w:bodyDiv w:val="1"/>
      <w:marLeft w:val="0"/>
      <w:marRight w:val="0"/>
      <w:marTop w:val="0"/>
      <w:marBottom w:val="0"/>
      <w:divBdr>
        <w:top w:val="none" w:sz="0" w:space="0" w:color="auto"/>
        <w:left w:val="none" w:sz="0" w:space="0" w:color="auto"/>
        <w:bottom w:val="none" w:sz="0" w:space="0" w:color="auto"/>
        <w:right w:val="none" w:sz="0" w:space="0" w:color="auto"/>
      </w:divBdr>
    </w:div>
    <w:div w:id="1394814896">
      <w:bodyDiv w:val="1"/>
      <w:marLeft w:val="0"/>
      <w:marRight w:val="0"/>
      <w:marTop w:val="0"/>
      <w:marBottom w:val="0"/>
      <w:divBdr>
        <w:top w:val="none" w:sz="0" w:space="0" w:color="auto"/>
        <w:left w:val="none" w:sz="0" w:space="0" w:color="auto"/>
        <w:bottom w:val="none" w:sz="0" w:space="0" w:color="auto"/>
        <w:right w:val="none" w:sz="0" w:space="0" w:color="auto"/>
      </w:divBdr>
    </w:div>
    <w:div w:id="1395156874">
      <w:bodyDiv w:val="1"/>
      <w:marLeft w:val="0"/>
      <w:marRight w:val="0"/>
      <w:marTop w:val="0"/>
      <w:marBottom w:val="0"/>
      <w:divBdr>
        <w:top w:val="none" w:sz="0" w:space="0" w:color="auto"/>
        <w:left w:val="none" w:sz="0" w:space="0" w:color="auto"/>
        <w:bottom w:val="none" w:sz="0" w:space="0" w:color="auto"/>
        <w:right w:val="none" w:sz="0" w:space="0" w:color="auto"/>
      </w:divBdr>
    </w:div>
    <w:div w:id="1396394332">
      <w:bodyDiv w:val="1"/>
      <w:marLeft w:val="0"/>
      <w:marRight w:val="0"/>
      <w:marTop w:val="0"/>
      <w:marBottom w:val="0"/>
      <w:divBdr>
        <w:top w:val="none" w:sz="0" w:space="0" w:color="auto"/>
        <w:left w:val="none" w:sz="0" w:space="0" w:color="auto"/>
        <w:bottom w:val="none" w:sz="0" w:space="0" w:color="auto"/>
        <w:right w:val="none" w:sz="0" w:space="0" w:color="auto"/>
      </w:divBdr>
    </w:div>
    <w:div w:id="1402026005">
      <w:bodyDiv w:val="1"/>
      <w:marLeft w:val="0"/>
      <w:marRight w:val="0"/>
      <w:marTop w:val="0"/>
      <w:marBottom w:val="0"/>
      <w:divBdr>
        <w:top w:val="none" w:sz="0" w:space="0" w:color="auto"/>
        <w:left w:val="none" w:sz="0" w:space="0" w:color="auto"/>
        <w:bottom w:val="none" w:sz="0" w:space="0" w:color="auto"/>
        <w:right w:val="none" w:sz="0" w:space="0" w:color="auto"/>
      </w:divBdr>
    </w:div>
    <w:div w:id="1404988668">
      <w:bodyDiv w:val="1"/>
      <w:marLeft w:val="0"/>
      <w:marRight w:val="0"/>
      <w:marTop w:val="0"/>
      <w:marBottom w:val="0"/>
      <w:divBdr>
        <w:top w:val="none" w:sz="0" w:space="0" w:color="auto"/>
        <w:left w:val="none" w:sz="0" w:space="0" w:color="auto"/>
        <w:bottom w:val="none" w:sz="0" w:space="0" w:color="auto"/>
        <w:right w:val="none" w:sz="0" w:space="0" w:color="auto"/>
      </w:divBdr>
    </w:div>
    <w:div w:id="1417046894">
      <w:bodyDiv w:val="1"/>
      <w:marLeft w:val="0"/>
      <w:marRight w:val="0"/>
      <w:marTop w:val="0"/>
      <w:marBottom w:val="0"/>
      <w:divBdr>
        <w:top w:val="none" w:sz="0" w:space="0" w:color="auto"/>
        <w:left w:val="none" w:sz="0" w:space="0" w:color="auto"/>
        <w:bottom w:val="none" w:sz="0" w:space="0" w:color="auto"/>
        <w:right w:val="none" w:sz="0" w:space="0" w:color="auto"/>
      </w:divBdr>
    </w:div>
    <w:div w:id="1420180785">
      <w:bodyDiv w:val="1"/>
      <w:marLeft w:val="0"/>
      <w:marRight w:val="0"/>
      <w:marTop w:val="0"/>
      <w:marBottom w:val="0"/>
      <w:divBdr>
        <w:top w:val="none" w:sz="0" w:space="0" w:color="auto"/>
        <w:left w:val="none" w:sz="0" w:space="0" w:color="auto"/>
        <w:bottom w:val="none" w:sz="0" w:space="0" w:color="auto"/>
        <w:right w:val="none" w:sz="0" w:space="0" w:color="auto"/>
      </w:divBdr>
    </w:div>
    <w:div w:id="1440223072">
      <w:bodyDiv w:val="1"/>
      <w:marLeft w:val="0"/>
      <w:marRight w:val="0"/>
      <w:marTop w:val="0"/>
      <w:marBottom w:val="0"/>
      <w:divBdr>
        <w:top w:val="none" w:sz="0" w:space="0" w:color="auto"/>
        <w:left w:val="none" w:sz="0" w:space="0" w:color="auto"/>
        <w:bottom w:val="none" w:sz="0" w:space="0" w:color="auto"/>
        <w:right w:val="none" w:sz="0" w:space="0" w:color="auto"/>
      </w:divBdr>
    </w:div>
    <w:div w:id="1441995540">
      <w:bodyDiv w:val="1"/>
      <w:marLeft w:val="0"/>
      <w:marRight w:val="0"/>
      <w:marTop w:val="0"/>
      <w:marBottom w:val="0"/>
      <w:divBdr>
        <w:top w:val="none" w:sz="0" w:space="0" w:color="auto"/>
        <w:left w:val="none" w:sz="0" w:space="0" w:color="auto"/>
        <w:bottom w:val="none" w:sz="0" w:space="0" w:color="auto"/>
        <w:right w:val="none" w:sz="0" w:space="0" w:color="auto"/>
      </w:divBdr>
    </w:div>
    <w:div w:id="1443919584">
      <w:bodyDiv w:val="1"/>
      <w:marLeft w:val="0"/>
      <w:marRight w:val="0"/>
      <w:marTop w:val="0"/>
      <w:marBottom w:val="0"/>
      <w:divBdr>
        <w:top w:val="none" w:sz="0" w:space="0" w:color="auto"/>
        <w:left w:val="none" w:sz="0" w:space="0" w:color="auto"/>
        <w:bottom w:val="none" w:sz="0" w:space="0" w:color="auto"/>
        <w:right w:val="none" w:sz="0" w:space="0" w:color="auto"/>
      </w:divBdr>
    </w:div>
    <w:div w:id="1445998560">
      <w:bodyDiv w:val="1"/>
      <w:marLeft w:val="0"/>
      <w:marRight w:val="0"/>
      <w:marTop w:val="0"/>
      <w:marBottom w:val="0"/>
      <w:divBdr>
        <w:top w:val="none" w:sz="0" w:space="0" w:color="auto"/>
        <w:left w:val="none" w:sz="0" w:space="0" w:color="auto"/>
        <w:bottom w:val="none" w:sz="0" w:space="0" w:color="auto"/>
        <w:right w:val="none" w:sz="0" w:space="0" w:color="auto"/>
      </w:divBdr>
      <w:divsChild>
        <w:div w:id="1864977636">
          <w:marLeft w:val="0"/>
          <w:marRight w:val="0"/>
          <w:marTop w:val="0"/>
          <w:marBottom w:val="0"/>
          <w:divBdr>
            <w:top w:val="none" w:sz="0" w:space="0" w:color="auto"/>
            <w:left w:val="none" w:sz="0" w:space="0" w:color="auto"/>
            <w:bottom w:val="none" w:sz="0" w:space="0" w:color="auto"/>
            <w:right w:val="none" w:sz="0" w:space="0" w:color="auto"/>
          </w:divBdr>
          <w:divsChild>
            <w:div w:id="759643763">
              <w:marLeft w:val="0"/>
              <w:marRight w:val="0"/>
              <w:marTop w:val="0"/>
              <w:marBottom w:val="0"/>
              <w:divBdr>
                <w:top w:val="none" w:sz="0" w:space="0" w:color="auto"/>
                <w:left w:val="none" w:sz="0" w:space="0" w:color="auto"/>
                <w:bottom w:val="none" w:sz="0" w:space="0" w:color="auto"/>
                <w:right w:val="none" w:sz="0" w:space="0" w:color="auto"/>
              </w:divBdr>
              <w:divsChild>
                <w:div w:id="2125953390">
                  <w:marLeft w:val="0"/>
                  <w:marRight w:val="0"/>
                  <w:marTop w:val="0"/>
                  <w:marBottom w:val="0"/>
                  <w:divBdr>
                    <w:top w:val="none" w:sz="0" w:space="0" w:color="auto"/>
                    <w:left w:val="none" w:sz="0" w:space="0" w:color="auto"/>
                    <w:bottom w:val="none" w:sz="0" w:space="0" w:color="auto"/>
                    <w:right w:val="none" w:sz="0" w:space="0" w:color="auto"/>
                  </w:divBdr>
                </w:div>
              </w:divsChild>
            </w:div>
            <w:div w:id="1174413327">
              <w:marLeft w:val="0"/>
              <w:marRight w:val="0"/>
              <w:marTop w:val="0"/>
              <w:marBottom w:val="0"/>
              <w:divBdr>
                <w:top w:val="none" w:sz="0" w:space="0" w:color="auto"/>
                <w:left w:val="none" w:sz="0" w:space="0" w:color="auto"/>
                <w:bottom w:val="none" w:sz="0" w:space="0" w:color="auto"/>
                <w:right w:val="none" w:sz="0" w:space="0" w:color="auto"/>
              </w:divBdr>
              <w:divsChild>
                <w:div w:id="1428768061">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1467695167">
      <w:bodyDiv w:val="1"/>
      <w:marLeft w:val="0"/>
      <w:marRight w:val="0"/>
      <w:marTop w:val="0"/>
      <w:marBottom w:val="0"/>
      <w:divBdr>
        <w:top w:val="none" w:sz="0" w:space="0" w:color="auto"/>
        <w:left w:val="none" w:sz="0" w:space="0" w:color="auto"/>
        <w:bottom w:val="none" w:sz="0" w:space="0" w:color="auto"/>
        <w:right w:val="none" w:sz="0" w:space="0" w:color="auto"/>
      </w:divBdr>
    </w:div>
    <w:div w:id="1470434112">
      <w:bodyDiv w:val="1"/>
      <w:marLeft w:val="0"/>
      <w:marRight w:val="0"/>
      <w:marTop w:val="0"/>
      <w:marBottom w:val="0"/>
      <w:divBdr>
        <w:top w:val="none" w:sz="0" w:space="0" w:color="auto"/>
        <w:left w:val="none" w:sz="0" w:space="0" w:color="auto"/>
        <w:bottom w:val="none" w:sz="0" w:space="0" w:color="auto"/>
        <w:right w:val="none" w:sz="0" w:space="0" w:color="auto"/>
      </w:divBdr>
    </w:div>
    <w:div w:id="1475833302">
      <w:bodyDiv w:val="1"/>
      <w:marLeft w:val="0"/>
      <w:marRight w:val="0"/>
      <w:marTop w:val="0"/>
      <w:marBottom w:val="0"/>
      <w:divBdr>
        <w:top w:val="none" w:sz="0" w:space="0" w:color="auto"/>
        <w:left w:val="none" w:sz="0" w:space="0" w:color="auto"/>
        <w:bottom w:val="none" w:sz="0" w:space="0" w:color="auto"/>
        <w:right w:val="none" w:sz="0" w:space="0" w:color="auto"/>
      </w:divBdr>
      <w:divsChild>
        <w:div w:id="820318275">
          <w:marLeft w:val="0"/>
          <w:marRight w:val="0"/>
          <w:marTop w:val="0"/>
          <w:marBottom w:val="0"/>
          <w:divBdr>
            <w:top w:val="none" w:sz="0" w:space="0" w:color="auto"/>
            <w:left w:val="none" w:sz="0" w:space="0" w:color="auto"/>
            <w:bottom w:val="none" w:sz="0" w:space="0" w:color="auto"/>
            <w:right w:val="none" w:sz="0" w:space="0" w:color="auto"/>
          </w:divBdr>
          <w:divsChild>
            <w:div w:id="150077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752300">
      <w:bodyDiv w:val="1"/>
      <w:marLeft w:val="0"/>
      <w:marRight w:val="0"/>
      <w:marTop w:val="0"/>
      <w:marBottom w:val="0"/>
      <w:divBdr>
        <w:top w:val="none" w:sz="0" w:space="0" w:color="auto"/>
        <w:left w:val="none" w:sz="0" w:space="0" w:color="auto"/>
        <w:bottom w:val="none" w:sz="0" w:space="0" w:color="auto"/>
        <w:right w:val="none" w:sz="0" w:space="0" w:color="auto"/>
      </w:divBdr>
    </w:div>
    <w:div w:id="1512598155">
      <w:bodyDiv w:val="1"/>
      <w:marLeft w:val="0"/>
      <w:marRight w:val="0"/>
      <w:marTop w:val="0"/>
      <w:marBottom w:val="0"/>
      <w:divBdr>
        <w:top w:val="none" w:sz="0" w:space="0" w:color="auto"/>
        <w:left w:val="none" w:sz="0" w:space="0" w:color="auto"/>
        <w:bottom w:val="none" w:sz="0" w:space="0" w:color="auto"/>
        <w:right w:val="none" w:sz="0" w:space="0" w:color="auto"/>
      </w:divBdr>
    </w:div>
    <w:div w:id="1519150831">
      <w:bodyDiv w:val="1"/>
      <w:marLeft w:val="0"/>
      <w:marRight w:val="0"/>
      <w:marTop w:val="0"/>
      <w:marBottom w:val="0"/>
      <w:divBdr>
        <w:top w:val="none" w:sz="0" w:space="0" w:color="auto"/>
        <w:left w:val="none" w:sz="0" w:space="0" w:color="auto"/>
        <w:bottom w:val="none" w:sz="0" w:space="0" w:color="auto"/>
        <w:right w:val="none" w:sz="0" w:space="0" w:color="auto"/>
      </w:divBdr>
    </w:div>
    <w:div w:id="1519730978">
      <w:bodyDiv w:val="1"/>
      <w:marLeft w:val="0"/>
      <w:marRight w:val="0"/>
      <w:marTop w:val="0"/>
      <w:marBottom w:val="0"/>
      <w:divBdr>
        <w:top w:val="none" w:sz="0" w:space="0" w:color="auto"/>
        <w:left w:val="none" w:sz="0" w:space="0" w:color="auto"/>
        <w:bottom w:val="none" w:sz="0" w:space="0" w:color="auto"/>
        <w:right w:val="none" w:sz="0" w:space="0" w:color="auto"/>
      </w:divBdr>
    </w:div>
    <w:div w:id="1523200485">
      <w:bodyDiv w:val="1"/>
      <w:marLeft w:val="0"/>
      <w:marRight w:val="0"/>
      <w:marTop w:val="0"/>
      <w:marBottom w:val="0"/>
      <w:divBdr>
        <w:top w:val="none" w:sz="0" w:space="0" w:color="auto"/>
        <w:left w:val="none" w:sz="0" w:space="0" w:color="auto"/>
        <w:bottom w:val="none" w:sz="0" w:space="0" w:color="auto"/>
        <w:right w:val="none" w:sz="0" w:space="0" w:color="auto"/>
      </w:divBdr>
    </w:div>
    <w:div w:id="1532910498">
      <w:bodyDiv w:val="1"/>
      <w:marLeft w:val="0"/>
      <w:marRight w:val="0"/>
      <w:marTop w:val="0"/>
      <w:marBottom w:val="0"/>
      <w:divBdr>
        <w:top w:val="none" w:sz="0" w:space="0" w:color="auto"/>
        <w:left w:val="none" w:sz="0" w:space="0" w:color="auto"/>
        <w:bottom w:val="none" w:sz="0" w:space="0" w:color="auto"/>
        <w:right w:val="none" w:sz="0" w:space="0" w:color="auto"/>
      </w:divBdr>
    </w:div>
    <w:div w:id="1533378372">
      <w:bodyDiv w:val="1"/>
      <w:marLeft w:val="0"/>
      <w:marRight w:val="0"/>
      <w:marTop w:val="0"/>
      <w:marBottom w:val="0"/>
      <w:divBdr>
        <w:top w:val="none" w:sz="0" w:space="0" w:color="auto"/>
        <w:left w:val="none" w:sz="0" w:space="0" w:color="auto"/>
        <w:bottom w:val="none" w:sz="0" w:space="0" w:color="auto"/>
        <w:right w:val="none" w:sz="0" w:space="0" w:color="auto"/>
      </w:divBdr>
    </w:div>
    <w:div w:id="1547985981">
      <w:bodyDiv w:val="1"/>
      <w:marLeft w:val="0"/>
      <w:marRight w:val="0"/>
      <w:marTop w:val="0"/>
      <w:marBottom w:val="0"/>
      <w:divBdr>
        <w:top w:val="none" w:sz="0" w:space="0" w:color="auto"/>
        <w:left w:val="none" w:sz="0" w:space="0" w:color="auto"/>
        <w:bottom w:val="none" w:sz="0" w:space="0" w:color="auto"/>
        <w:right w:val="none" w:sz="0" w:space="0" w:color="auto"/>
      </w:divBdr>
    </w:div>
    <w:div w:id="1550527444">
      <w:bodyDiv w:val="1"/>
      <w:marLeft w:val="0"/>
      <w:marRight w:val="0"/>
      <w:marTop w:val="0"/>
      <w:marBottom w:val="0"/>
      <w:divBdr>
        <w:top w:val="none" w:sz="0" w:space="0" w:color="auto"/>
        <w:left w:val="none" w:sz="0" w:space="0" w:color="auto"/>
        <w:bottom w:val="none" w:sz="0" w:space="0" w:color="auto"/>
        <w:right w:val="none" w:sz="0" w:space="0" w:color="auto"/>
      </w:divBdr>
    </w:div>
    <w:div w:id="1554392706">
      <w:bodyDiv w:val="1"/>
      <w:marLeft w:val="0"/>
      <w:marRight w:val="0"/>
      <w:marTop w:val="0"/>
      <w:marBottom w:val="0"/>
      <w:divBdr>
        <w:top w:val="none" w:sz="0" w:space="0" w:color="auto"/>
        <w:left w:val="none" w:sz="0" w:space="0" w:color="auto"/>
        <w:bottom w:val="none" w:sz="0" w:space="0" w:color="auto"/>
        <w:right w:val="none" w:sz="0" w:space="0" w:color="auto"/>
      </w:divBdr>
    </w:div>
    <w:div w:id="1556814188">
      <w:bodyDiv w:val="1"/>
      <w:marLeft w:val="0"/>
      <w:marRight w:val="0"/>
      <w:marTop w:val="0"/>
      <w:marBottom w:val="0"/>
      <w:divBdr>
        <w:top w:val="none" w:sz="0" w:space="0" w:color="auto"/>
        <w:left w:val="none" w:sz="0" w:space="0" w:color="auto"/>
        <w:bottom w:val="none" w:sz="0" w:space="0" w:color="auto"/>
        <w:right w:val="none" w:sz="0" w:space="0" w:color="auto"/>
      </w:divBdr>
    </w:div>
    <w:div w:id="1570725573">
      <w:bodyDiv w:val="1"/>
      <w:marLeft w:val="0"/>
      <w:marRight w:val="0"/>
      <w:marTop w:val="0"/>
      <w:marBottom w:val="0"/>
      <w:divBdr>
        <w:top w:val="none" w:sz="0" w:space="0" w:color="auto"/>
        <w:left w:val="none" w:sz="0" w:space="0" w:color="auto"/>
        <w:bottom w:val="none" w:sz="0" w:space="0" w:color="auto"/>
        <w:right w:val="none" w:sz="0" w:space="0" w:color="auto"/>
      </w:divBdr>
    </w:div>
    <w:div w:id="1588687217">
      <w:bodyDiv w:val="1"/>
      <w:marLeft w:val="0"/>
      <w:marRight w:val="0"/>
      <w:marTop w:val="0"/>
      <w:marBottom w:val="0"/>
      <w:divBdr>
        <w:top w:val="none" w:sz="0" w:space="0" w:color="auto"/>
        <w:left w:val="none" w:sz="0" w:space="0" w:color="auto"/>
        <w:bottom w:val="none" w:sz="0" w:space="0" w:color="auto"/>
        <w:right w:val="none" w:sz="0" w:space="0" w:color="auto"/>
      </w:divBdr>
    </w:div>
    <w:div w:id="1591695782">
      <w:bodyDiv w:val="1"/>
      <w:marLeft w:val="0"/>
      <w:marRight w:val="0"/>
      <w:marTop w:val="0"/>
      <w:marBottom w:val="0"/>
      <w:divBdr>
        <w:top w:val="none" w:sz="0" w:space="0" w:color="auto"/>
        <w:left w:val="none" w:sz="0" w:space="0" w:color="auto"/>
        <w:bottom w:val="none" w:sz="0" w:space="0" w:color="auto"/>
        <w:right w:val="none" w:sz="0" w:space="0" w:color="auto"/>
      </w:divBdr>
    </w:div>
    <w:div w:id="1610510619">
      <w:bodyDiv w:val="1"/>
      <w:marLeft w:val="0"/>
      <w:marRight w:val="0"/>
      <w:marTop w:val="0"/>
      <w:marBottom w:val="0"/>
      <w:divBdr>
        <w:top w:val="none" w:sz="0" w:space="0" w:color="auto"/>
        <w:left w:val="none" w:sz="0" w:space="0" w:color="auto"/>
        <w:bottom w:val="none" w:sz="0" w:space="0" w:color="auto"/>
        <w:right w:val="none" w:sz="0" w:space="0" w:color="auto"/>
      </w:divBdr>
    </w:div>
    <w:div w:id="1611400792">
      <w:bodyDiv w:val="1"/>
      <w:marLeft w:val="0"/>
      <w:marRight w:val="0"/>
      <w:marTop w:val="0"/>
      <w:marBottom w:val="0"/>
      <w:divBdr>
        <w:top w:val="none" w:sz="0" w:space="0" w:color="auto"/>
        <w:left w:val="none" w:sz="0" w:space="0" w:color="auto"/>
        <w:bottom w:val="none" w:sz="0" w:space="0" w:color="auto"/>
        <w:right w:val="none" w:sz="0" w:space="0" w:color="auto"/>
      </w:divBdr>
    </w:div>
    <w:div w:id="1611550037">
      <w:bodyDiv w:val="1"/>
      <w:marLeft w:val="0"/>
      <w:marRight w:val="0"/>
      <w:marTop w:val="0"/>
      <w:marBottom w:val="0"/>
      <w:divBdr>
        <w:top w:val="none" w:sz="0" w:space="0" w:color="auto"/>
        <w:left w:val="none" w:sz="0" w:space="0" w:color="auto"/>
        <w:bottom w:val="none" w:sz="0" w:space="0" w:color="auto"/>
        <w:right w:val="none" w:sz="0" w:space="0" w:color="auto"/>
      </w:divBdr>
    </w:div>
    <w:div w:id="1629775020">
      <w:bodyDiv w:val="1"/>
      <w:marLeft w:val="0"/>
      <w:marRight w:val="0"/>
      <w:marTop w:val="0"/>
      <w:marBottom w:val="0"/>
      <w:divBdr>
        <w:top w:val="none" w:sz="0" w:space="0" w:color="auto"/>
        <w:left w:val="none" w:sz="0" w:space="0" w:color="auto"/>
        <w:bottom w:val="none" w:sz="0" w:space="0" w:color="auto"/>
        <w:right w:val="none" w:sz="0" w:space="0" w:color="auto"/>
      </w:divBdr>
    </w:div>
    <w:div w:id="1633054589">
      <w:bodyDiv w:val="1"/>
      <w:marLeft w:val="0"/>
      <w:marRight w:val="0"/>
      <w:marTop w:val="0"/>
      <w:marBottom w:val="0"/>
      <w:divBdr>
        <w:top w:val="none" w:sz="0" w:space="0" w:color="auto"/>
        <w:left w:val="none" w:sz="0" w:space="0" w:color="auto"/>
        <w:bottom w:val="none" w:sz="0" w:space="0" w:color="auto"/>
        <w:right w:val="none" w:sz="0" w:space="0" w:color="auto"/>
      </w:divBdr>
    </w:div>
    <w:div w:id="1640067767">
      <w:bodyDiv w:val="1"/>
      <w:marLeft w:val="0"/>
      <w:marRight w:val="0"/>
      <w:marTop w:val="0"/>
      <w:marBottom w:val="0"/>
      <w:divBdr>
        <w:top w:val="none" w:sz="0" w:space="0" w:color="auto"/>
        <w:left w:val="none" w:sz="0" w:space="0" w:color="auto"/>
        <w:bottom w:val="none" w:sz="0" w:space="0" w:color="auto"/>
        <w:right w:val="none" w:sz="0" w:space="0" w:color="auto"/>
      </w:divBdr>
    </w:div>
    <w:div w:id="1654291648">
      <w:bodyDiv w:val="1"/>
      <w:marLeft w:val="0"/>
      <w:marRight w:val="0"/>
      <w:marTop w:val="0"/>
      <w:marBottom w:val="0"/>
      <w:divBdr>
        <w:top w:val="none" w:sz="0" w:space="0" w:color="auto"/>
        <w:left w:val="none" w:sz="0" w:space="0" w:color="auto"/>
        <w:bottom w:val="none" w:sz="0" w:space="0" w:color="auto"/>
        <w:right w:val="none" w:sz="0" w:space="0" w:color="auto"/>
      </w:divBdr>
    </w:div>
    <w:div w:id="1670936717">
      <w:bodyDiv w:val="1"/>
      <w:marLeft w:val="0"/>
      <w:marRight w:val="0"/>
      <w:marTop w:val="0"/>
      <w:marBottom w:val="0"/>
      <w:divBdr>
        <w:top w:val="none" w:sz="0" w:space="0" w:color="auto"/>
        <w:left w:val="none" w:sz="0" w:space="0" w:color="auto"/>
        <w:bottom w:val="none" w:sz="0" w:space="0" w:color="auto"/>
        <w:right w:val="none" w:sz="0" w:space="0" w:color="auto"/>
      </w:divBdr>
    </w:div>
    <w:div w:id="1673681125">
      <w:bodyDiv w:val="1"/>
      <w:marLeft w:val="0"/>
      <w:marRight w:val="0"/>
      <w:marTop w:val="0"/>
      <w:marBottom w:val="0"/>
      <w:divBdr>
        <w:top w:val="none" w:sz="0" w:space="0" w:color="auto"/>
        <w:left w:val="none" w:sz="0" w:space="0" w:color="auto"/>
        <w:bottom w:val="none" w:sz="0" w:space="0" w:color="auto"/>
        <w:right w:val="none" w:sz="0" w:space="0" w:color="auto"/>
      </w:divBdr>
    </w:div>
    <w:div w:id="1677416348">
      <w:bodyDiv w:val="1"/>
      <w:marLeft w:val="0"/>
      <w:marRight w:val="0"/>
      <w:marTop w:val="0"/>
      <w:marBottom w:val="0"/>
      <w:divBdr>
        <w:top w:val="none" w:sz="0" w:space="0" w:color="auto"/>
        <w:left w:val="none" w:sz="0" w:space="0" w:color="auto"/>
        <w:bottom w:val="none" w:sz="0" w:space="0" w:color="auto"/>
        <w:right w:val="none" w:sz="0" w:space="0" w:color="auto"/>
      </w:divBdr>
    </w:div>
    <w:div w:id="1701200218">
      <w:bodyDiv w:val="1"/>
      <w:marLeft w:val="0"/>
      <w:marRight w:val="0"/>
      <w:marTop w:val="0"/>
      <w:marBottom w:val="0"/>
      <w:divBdr>
        <w:top w:val="none" w:sz="0" w:space="0" w:color="auto"/>
        <w:left w:val="none" w:sz="0" w:space="0" w:color="auto"/>
        <w:bottom w:val="none" w:sz="0" w:space="0" w:color="auto"/>
        <w:right w:val="none" w:sz="0" w:space="0" w:color="auto"/>
      </w:divBdr>
    </w:div>
    <w:div w:id="1737892106">
      <w:bodyDiv w:val="1"/>
      <w:marLeft w:val="0"/>
      <w:marRight w:val="0"/>
      <w:marTop w:val="0"/>
      <w:marBottom w:val="0"/>
      <w:divBdr>
        <w:top w:val="none" w:sz="0" w:space="0" w:color="auto"/>
        <w:left w:val="none" w:sz="0" w:space="0" w:color="auto"/>
        <w:bottom w:val="none" w:sz="0" w:space="0" w:color="auto"/>
        <w:right w:val="none" w:sz="0" w:space="0" w:color="auto"/>
      </w:divBdr>
    </w:div>
    <w:div w:id="1757752507">
      <w:bodyDiv w:val="1"/>
      <w:marLeft w:val="0"/>
      <w:marRight w:val="0"/>
      <w:marTop w:val="0"/>
      <w:marBottom w:val="0"/>
      <w:divBdr>
        <w:top w:val="none" w:sz="0" w:space="0" w:color="auto"/>
        <w:left w:val="none" w:sz="0" w:space="0" w:color="auto"/>
        <w:bottom w:val="none" w:sz="0" w:space="0" w:color="auto"/>
        <w:right w:val="none" w:sz="0" w:space="0" w:color="auto"/>
      </w:divBdr>
    </w:div>
    <w:div w:id="1769737685">
      <w:bodyDiv w:val="1"/>
      <w:marLeft w:val="0"/>
      <w:marRight w:val="0"/>
      <w:marTop w:val="0"/>
      <w:marBottom w:val="0"/>
      <w:divBdr>
        <w:top w:val="none" w:sz="0" w:space="0" w:color="auto"/>
        <w:left w:val="none" w:sz="0" w:space="0" w:color="auto"/>
        <w:bottom w:val="none" w:sz="0" w:space="0" w:color="auto"/>
        <w:right w:val="none" w:sz="0" w:space="0" w:color="auto"/>
      </w:divBdr>
      <w:divsChild>
        <w:div w:id="909341039">
          <w:marLeft w:val="0"/>
          <w:marRight w:val="0"/>
          <w:marTop w:val="0"/>
          <w:marBottom w:val="0"/>
          <w:divBdr>
            <w:top w:val="none" w:sz="0" w:space="0" w:color="auto"/>
            <w:left w:val="none" w:sz="0" w:space="0" w:color="auto"/>
            <w:bottom w:val="none" w:sz="0" w:space="0" w:color="auto"/>
            <w:right w:val="none" w:sz="0" w:space="0" w:color="auto"/>
          </w:divBdr>
          <w:divsChild>
            <w:div w:id="206797243">
              <w:marLeft w:val="0"/>
              <w:marRight w:val="0"/>
              <w:marTop w:val="0"/>
              <w:marBottom w:val="0"/>
              <w:divBdr>
                <w:top w:val="none" w:sz="0" w:space="0" w:color="auto"/>
                <w:left w:val="none" w:sz="0" w:space="0" w:color="auto"/>
                <w:bottom w:val="none" w:sz="0" w:space="0" w:color="auto"/>
                <w:right w:val="none" w:sz="0" w:space="0" w:color="auto"/>
              </w:divBdr>
              <w:divsChild>
                <w:div w:id="158695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471059">
      <w:bodyDiv w:val="1"/>
      <w:marLeft w:val="0"/>
      <w:marRight w:val="0"/>
      <w:marTop w:val="0"/>
      <w:marBottom w:val="0"/>
      <w:divBdr>
        <w:top w:val="none" w:sz="0" w:space="0" w:color="auto"/>
        <w:left w:val="none" w:sz="0" w:space="0" w:color="auto"/>
        <w:bottom w:val="none" w:sz="0" w:space="0" w:color="auto"/>
        <w:right w:val="none" w:sz="0" w:space="0" w:color="auto"/>
      </w:divBdr>
    </w:div>
    <w:div w:id="1805155531">
      <w:bodyDiv w:val="1"/>
      <w:marLeft w:val="0"/>
      <w:marRight w:val="0"/>
      <w:marTop w:val="0"/>
      <w:marBottom w:val="0"/>
      <w:divBdr>
        <w:top w:val="none" w:sz="0" w:space="0" w:color="auto"/>
        <w:left w:val="none" w:sz="0" w:space="0" w:color="auto"/>
        <w:bottom w:val="none" w:sz="0" w:space="0" w:color="auto"/>
        <w:right w:val="none" w:sz="0" w:space="0" w:color="auto"/>
      </w:divBdr>
    </w:div>
    <w:div w:id="1812596790">
      <w:bodyDiv w:val="1"/>
      <w:marLeft w:val="0"/>
      <w:marRight w:val="0"/>
      <w:marTop w:val="0"/>
      <w:marBottom w:val="0"/>
      <w:divBdr>
        <w:top w:val="none" w:sz="0" w:space="0" w:color="auto"/>
        <w:left w:val="none" w:sz="0" w:space="0" w:color="auto"/>
        <w:bottom w:val="none" w:sz="0" w:space="0" w:color="auto"/>
        <w:right w:val="none" w:sz="0" w:space="0" w:color="auto"/>
      </w:divBdr>
    </w:div>
    <w:div w:id="1817330942">
      <w:bodyDiv w:val="1"/>
      <w:marLeft w:val="0"/>
      <w:marRight w:val="0"/>
      <w:marTop w:val="0"/>
      <w:marBottom w:val="0"/>
      <w:divBdr>
        <w:top w:val="none" w:sz="0" w:space="0" w:color="auto"/>
        <w:left w:val="none" w:sz="0" w:space="0" w:color="auto"/>
        <w:bottom w:val="none" w:sz="0" w:space="0" w:color="auto"/>
        <w:right w:val="none" w:sz="0" w:space="0" w:color="auto"/>
      </w:divBdr>
    </w:div>
    <w:div w:id="1820539416">
      <w:bodyDiv w:val="1"/>
      <w:marLeft w:val="0"/>
      <w:marRight w:val="0"/>
      <w:marTop w:val="0"/>
      <w:marBottom w:val="0"/>
      <w:divBdr>
        <w:top w:val="none" w:sz="0" w:space="0" w:color="auto"/>
        <w:left w:val="none" w:sz="0" w:space="0" w:color="auto"/>
        <w:bottom w:val="none" w:sz="0" w:space="0" w:color="auto"/>
        <w:right w:val="none" w:sz="0" w:space="0" w:color="auto"/>
      </w:divBdr>
    </w:div>
    <w:div w:id="1826890703">
      <w:bodyDiv w:val="1"/>
      <w:marLeft w:val="0"/>
      <w:marRight w:val="0"/>
      <w:marTop w:val="0"/>
      <w:marBottom w:val="0"/>
      <w:divBdr>
        <w:top w:val="none" w:sz="0" w:space="0" w:color="auto"/>
        <w:left w:val="none" w:sz="0" w:space="0" w:color="auto"/>
        <w:bottom w:val="none" w:sz="0" w:space="0" w:color="auto"/>
        <w:right w:val="none" w:sz="0" w:space="0" w:color="auto"/>
      </w:divBdr>
    </w:div>
    <w:div w:id="1840458228">
      <w:bodyDiv w:val="1"/>
      <w:marLeft w:val="0"/>
      <w:marRight w:val="0"/>
      <w:marTop w:val="0"/>
      <w:marBottom w:val="0"/>
      <w:divBdr>
        <w:top w:val="none" w:sz="0" w:space="0" w:color="auto"/>
        <w:left w:val="none" w:sz="0" w:space="0" w:color="auto"/>
        <w:bottom w:val="none" w:sz="0" w:space="0" w:color="auto"/>
        <w:right w:val="none" w:sz="0" w:space="0" w:color="auto"/>
      </w:divBdr>
    </w:div>
    <w:div w:id="1840652201">
      <w:bodyDiv w:val="1"/>
      <w:marLeft w:val="0"/>
      <w:marRight w:val="0"/>
      <w:marTop w:val="0"/>
      <w:marBottom w:val="0"/>
      <w:divBdr>
        <w:top w:val="none" w:sz="0" w:space="0" w:color="auto"/>
        <w:left w:val="none" w:sz="0" w:space="0" w:color="auto"/>
        <w:bottom w:val="none" w:sz="0" w:space="0" w:color="auto"/>
        <w:right w:val="none" w:sz="0" w:space="0" w:color="auto"/>
      </w:divBdr>
    </w:div>
    <w:div w:id="1847861640">
      <w:bodyDiv w:val="1"/>
      <w:marLeft w:val="0"/>
      <w:marRight w:val="0"/>
      <w:marTop w:val="0"/>
      <w:marBottom w:val="0"/>
      <w:divBdr>
        <w:top w:val="none" w:sz="0" w:space="0" w:color="auto"/>
        <w:left w:val="none" w:sz="0" w:space="0" w:color="auto"/>
        <w:bottom w:val="none" w:sz="0" w:space="0" w:color="auto"/>
        <w:right w:val="none" w:sz="0" w:space="0" w:color="auto"/>
      </w:divBdr>
    </w:div>
    <w:div w:id="1848443356">
      <w:bodyDiv w:val="1"/>
      <w:marLeft w:val="0"/>
      <w:marRight w:val="0"/>
      <w:marTop w:val="0"/>
      <w:marBottom w:val="0"/>
      <w:divBdr>
        <w:top w:val="none" w:sz="0" w:space="0" w:color="auto"/>
        <w:left w:val="none" w:sz="0" w:space="0" w:color="auto"/>
        <w:bottom w:val="none" w:sz="0" w:space="0" w:color="auto"/>
        <w:right w:val="none" w:sz="0" w:space="0" w:color="auto"/>
      </w:divBdr>
    </w:div>
    <w:div w:id="1854800939">
      <w:bodyDiv w:val="1"/>
      <w:marLeft w:val="0"/>
      <w:marRight w:val="0"/>
      <w:marTop w:val="0"/>
      <w:marBottom w:val="0"/>
      <w:divBdr>
        <w:top w:val="none" w:sz="0" w:space="0" w:color="auto"/>
        <w:left w:val="none" w:sz="0" w:space="0" w:color="auto"/>
        <w:bottom w:val="none" w:sz="0" w:space="0" w:color="auto"/>
        <w:right w:val="none" w:sz="0" w:space="0" w:color="auto"/>
      </w:divBdr>
    </w:div>
    <w:div w:id="1870146873">
      <w:bodyDiv w:val="1"/>
      <w:marLeft w:val="0"/>
      <w:marRight w:val="0"/>
      <w:marTop w:val="0"/>
      <w:marBottom w:val="0"/>
      <w:divBdr>
        <w:top w:val="none" w:sz="0" w:space="0" w:color="auto"/>
        <w:left w:val="none" w:sz="0" w:space="0" w:color="auto"/>
        <w:bottom w:val="none" w:sz="0" w:space="0" w:color="auto"/>
        <w:right w:val="none" w:sz="0" w:space="0" w:color="auto"/>
      </w:divBdr>
    </w:div>
    <w:div w:id="1883856792">
      <w:bodyDiv w:val="1"/>
      <w:marLeft w:val="0"/>
      <w:marRight w:val="0"/>
      <w:marTop w:val="0"/>
      <w:marBottom w:val="0"/>
      <w:divBdr>
        <w:top w:val="none" w:sz="0" w:space="0" w:color="auto"/>
        <w:left w:val="none" w:sz="0" w:space="0" w:color="auto"/>
        <w:bottom w:val="none" w:sz="0" w:space="0" w:color="auto"/>
        <w:right w:val="none" w:sz="0" w:space="0" w:color="auto"/>
      </w:divBdr>
    </w:div>
    <w:div w:id="1902980291">
      <w:bodyDiv w:val="1"/>
      <w:marLeft w:val="0"/>
      <w:marRight w:val="0"/>
      <w:marTop w:val="0"/>
      <w:marBottom w:val="0"/>
      <w:divBdr>
        <w:top w:val="none" w:sz="0" w:space="0" w:color="auto"/>
        <w:left w:val="none" w:sz="0" w:space="0" w:color="auto"/>
        <w:bottom w:val="none" w:sz="0" w:space="0" w:color="auto"/>
        <w:right w:val="none" w:sz="0" w:space="0" w:color="auto"/>
      </w:divBdr>
    </w:div>
    <w:div w:id="1914049172">
      <w:bodyDiv w:val="1"/>
      <w:marLeft w:val="0"/>
      <w:marRight w:val="0"/>
      <w:marTop w:val="0"/>
      <w:marBottom w:val="0"/>
      <w:divBdr>
        <w:top w:val="none" w:sz="0" w:space="0" w:color="auto"/>
        <w:left w:val="none" w:sz="0" w:space="0" w:color="auto"/>
        <w:bottom w:val="none" w:sz="0" w:space="0" w:color="auto"/>
        <w:right w:val="none" w:sz="0" w:space="0" w:color="auto"/>
      </w:divBdr>
    </w:div>
    <w:div w:id="1923221223">
      <w:bodyDiv w:val="1"/>
      <w:marLeft w:val="0"/>
      <w:marRight w:val="0"/>
      <w:marTop w:val="0"/>
      <w:marBottom w:val="0"/>
      <w:divBdr>
        <w:top w:val="none" w:sz="0" w:space="0" w:color="auto"/>
        <w:left w:val="none" w:sz="0" w:space="0" w:color="auto"/>
        <w:bottom w:val="none" w:sz="0" w:space="0" w:color="auto"/>
        <w:right w:val="none" w:sz="0" w:space="0" w:color="auto"/>
      </w:divBdr>
      <w:divsChild>
        <w:div w:id="710039196">
          <w:marLeft w:val="0"/>
          <w:marRight w:val="0"/>
          <w:marTop w:val="0"/>
          <w:marBottom w:val="0"/>
          <w:divBdr>
            <w:top w:val="single" w:sz="2" w:space="0" w:color="auto"/>
            <w:left w:val="single" w:sz="2" w:space="0" w:color="auto"/>
            <w:bottom w:val="single" w:sz="2" w:space="0" w:color="auto"/>
            <w:right w:val="single" w:sz="2" w:space="0" w:color="auto"/>
          </w:divBdr>
          <w:divsChild>
            <w:div w:id="1608581291">
              <w:marLeft w:val="0"/>
              <w:marRight w:val="0"/>
              <w:marTop w:val="0"/>
              <w:marBottom w:val="0"/>
              <w:divBdr>
                <w:top w:val="single" w:sz="2" w:space="0" w:color="auto"/>
                <w:left w:val="single" w:sz="2" w:space="0" w:color="auto"/>
                <w:bottom w:val="single" w:sz="2" w:space="0" w:color="auto"/>
                <w:right w:val="single" w:sz="2" w:space="0" w:color="auto"/>
              </w:divBdr>
              <w:divsChild>
                <w:div w:id="21163668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944414228">
      <w:bodyDiv w:val="1"/>
      <w:marLeft w:val="0"/>
      <w:marRight w:val="0"/>
      <w:marTop w:val="0"/>
      <w:marBottom w:val="0"/>
      <w:divBdr>
        <w:top w:val="none" w:sz="0" w:space="0" w:color="auto"/>
        <w:left w:val="none" w:sz="0" w:space="0" w:color="auto"/>
        <w:bottom w:val="none" w:sz="0" w:space="0" w:color="auto"/>
        <w:right w:val="none" w:sz="0" w:space="0" w:color="auto"/>
      </w:divBdr>
    </w:div>
    <w:div w:id="1971208883">
      <w:bodyDiv w:val="1"/>
      <w:marLeft w:val="0"/>
      <w:marRight w:val="0"/>
      <w:marTop w:val="0"/>
      <w:marBottom w:val="0"/>
      <w:divBdr>
        <w:top w:val="none" w:sz="0" w:space="0" w:color="auto"/>
        <w:left w:val="none" w:sz="0" w:space="0" w:color="auto"/>
        <w:bottom w:val="none" w:sz="0" w:space="0" w:color="auto"/>
        <w:right w:val="none" w:sz="0" w:space="0" w:color="auto"/>
      </w:divBdr>
    </w:div>
    <w:div w:id="1983003020">
      <w:bodyDiv w:val="1"/>
      <w:marLeft w:val="0"/>
      <w:marRight w:val="0"/>
      <w:marTop w:val="0"/>
      <w:marBottom w:val="0"/>
      <w:divBdr>
        <w:top w:val="none" w:sz="0" w:space="0" w:color="auto"/>
        <w:left w:val="none" w:sz="0" w:space="0" w:color="auto"/>
        <w:bottom w:val="none" w:sz="0" w:space="0" w:color="auto"/>
        <w:right w:val="none" w:sz="0" w:space="0" w:color="auto"/>
      </w:divBdr>
    </w:div>
    <w:div w:id="1998609445">
      <w:bodyDiv w:val="1"/>
      <w:marLeft w:val="0"/>
      <w:marRight w:val="0"/>
      <w:marTop w:val="0"/>
      <w:marBottom w:val="0"/>
      <w:divBdr>
        <w:top w:val="none" w:sz="0" w:space="0" w:color="auto"/>
        <w:left w:val="none" w:sz="0" w:space="0" w:color="auto"/>
        <w:bottom w:val="none" w:sz="0" w:space="0" w:color="auto"/>
        <w:right w:val="none" w:sz="0" w:space="0" w:color="auto"/>
      </w:divBdr>
    </w:div>
    <w:div w:id="2004694827">
      <w:bodyDiv w:val="1"/>
      <w:marLeft w:val="0"/>
      <w:marRight w:val="0"/>
      <w:marTop w:val="0"/>
      <w:marBottom w:val="0"/>
      <w:divBdr>
        <w:top w:val="none" w:sz="0" w:space="0" w:color="auto"/>
        <w:left w:val="none" w:sz="0" w:space="0" w:color="auto"/>
        <w:bottom w:val="none" w:sz="0" w:space="0" w:color="auto"/>
        <w:right w:val="none" w:sz="0" w:space="0" w:color="auto"/>
      </w:divBdr>
    </w:div>
    <w:div w:id="2004771902">
      <w:bodyDiv w:val="1"/>
      <w:marLeft w:val="0"/>
      <w:marRight w:val="0"/>
      <w:marTop w:val="0"/>
      <w:marBottom w:val="0"/>
      <w:divBdr>
        <w:top w:val="none" w:sz="0" w:space="0" w:color="auto"/>
        <w:left w:val="none" w:sz="0" w:space="0" w:color="auto"/>
        <w:bottom w:val="none" w:sz="0" w:space="0" w:color="auto"/>
        <w:right w:val="none" w:sz="0" w:space="0" w:color="auto"/>
      </w:divBdr>
    </w:div>
    <w:div w:id="2016028911">
      <w:bodyDiv w:val="1"/>
      <w:marLeft w:val="0"/>
      <w:marRight w:val="0"/>
      <w:marTop w:val="0"/>
      <w:marBottom w:val="0"/>
      <w:divBdr>
        <w:top w:val="none" w:sz="0" w:space="0" w:color="auto"/>
        <w:left w:val="none" w:sz="0" w:space="0" w:color="auto"/>
        <w:bottom w:val="none" w:sz="0" w:space="0" w:color="auto"/>
        <w:right w:val="none" w:sz="0" w:space="0" w:color="auto"/>
      </w:divBdr>
    </w:div>
    <w:div w:id="2020153557">
      <w:bodyDiv w:val="1"/>
      <w:marLeft w:val="0"/>
      <w:marRight w:val="0"/>
      <w:marTop w:val="0"/>
      <w:marBottom w:val="0"/>
      <w:divBdr>
        <w:top w:val="none" w:sz="0" w:space="0" w:color="auto"/>
        <w:left w:val="none" w:sz="0" w:space="0" w:color="auto"/>
        <w:bottom w:val="none" w:sz="0" w:space="0" w:color="auto"/>
        <w:right w:val="none" w:sz="0" w:space="0" w:color="auto"/>
      </w:divBdr>
    </w:div>
    <w:div w:id="2032953680">
      <w:bodyDiv w:val="1"/>
      <w:marLeft w:val="0"/>
      <w:marRight w:val="0"/>
      <w:marTop w:val="0"/>
      <w:marBottom w:val="0"/>
      <w:divBdr>
        <w:top w:val="none" w:sz="0" w:space="0" w:color="auto"/>
        <w:left w:val="none" w:sz="0" w:space="0" w:color="auto"/>
        <w:bottom w:val="none" w:sz="0" w:space="0" w:color="auto"/>
        <w:right w:val="none" w:sz="0" w:space="0" w:color="auto"/>
      </w:divBdr>
    </w:div>
    <w:div w:id="2035186983">
      <w:bodyDiv w:val="1"/>
      <w:marLeft w:val="0"/>
      <w:marRight w:val="0"/>
      <w:marTop w:val="0"/>
      <w:marBottom w:val="0"/>
      <w:divBdr>
        <w:top w:val="none" w:sz="0" w:space="0" w:color="auto"/>
        <w:left w:val="none" w:sz="0" w:space="0" w:color="auto"/>
        <w:bottom w:val="none" w:sz="0" w:space="0" w:color="auto"/>
        <w:right w:val="none" w:sz="0" w:space="0" w:color="auto"/>
      </w:divBdr>
    </w:div>
    <w:div w:id="2055544548">
      <w:bodyDiv w:val="1"/>
      <w:marLeft w:val="0"/>
      <w:marRight w:val="0"/>
      <w:marTop w:val="0"/>
      <w:marBottom w:val="0"/>
      <w:divBdr>
        <w:top w:val="none" w:sz="0" w:space="0" w:color="auto"/>
        <w:left w:val="none" w:sz="0" w:space="0" w:color="auto"/>
        <w:bottom w:val="none" w:sz="0" w:space="0" w:color="auto"/>
        <w:right w:val="none" w:sz="0" w:space="0" w:color="auto"/>
      </w:divBdr>
    </w:div>
    <w:div w:id="2073380467">
      <w:bodyDiv w:val="1"/>
      <w:marLeft w:val="0"/>
      <w:marRight w:val="0"/>
      <w:marTop w:val="0"/>
      <w:marBottom w:val="0"/>
      <w:divBdr>
        <w:top w:val="none" w:sz="0" w:space="0" w:color="auto"/>
        <w:left w:val="none" w:sz="0" w:space="0" w:color="auto"/>
        <w:bottom w:val="none" w:sz="0" w:space="0" w:color="auto"/>
        <w:right w:val="none" w:sz="0" w:space="0" w:color="auto"/>
      </w:divBdr>
    </w:div>
    <w:div w:id="2073506383">
      <w:bodyDiv w:val="1"/>
      <w:marLeft w:val="0"/>
      <w:marRight w:val="0"/>
      <w:marTop w:val="0"/>
      <w:marBottom w:val="0"/>
      <w:divBdr>
        <w:top w:val="none" w:sz="0" w:space="0" w:color="auto"/>
        <w:left w:val="none" w:sz="0" w:space="0" w:color="auto"/>
        <w:bottom w:val="none" w:sz="0" w:space="0" w:color="auto"/>
        <w:right w:val="none" w:sz="0" w:space="0" w:color="auto"/>
      </w:divBdr>
    </w:div>
    <w:div w:id="2081252199">
      <w:bodyDiv w:val="1"/>
      <w:marLeft w:val="0"/>
      <w:marRight w:val="0"/>
      <w:marTop w:val="0"/>
      <w:marBottom w:val="0"/>
      <w:divBdr>
        <w:top w:val="none" w:sz="0" w:space="0" w:color="auto"/>
        <w:left w:val="none" w:sz="0" w:space="0" w:color="auto"/>
        <w:bottom w:val="none" w:sz="0" w:space="0" w:color="auto"/>
        <w:right w:val="none" w:sz="0" w:space="0" w:color="auto"/>
      </w:divBdr>
    </w:div>
    <w:div w:id="2082285881">
      <w:bodyDiv w:val="1"/>
      <w:marLeft w:val="0"/>
      <w:marRight w:val="0"/>
      <w:marTop w:val="0"/>
      <w:marBottom w:val="0"/>
      <w:divBdr>
        <w:top w:val="none" w:sz="0" w:space="0" w:color="auto"/>
        <w:left w:val="none" w:sz="0" w:space="0" w:color="auto"/>
        <w:bottom w:val="none" w:sz="0" w:space="0" w:color="auto"/>
        <w:right w:val="none" w:sz="0" w:space="0" w:color="auto"/>
      </w:divBdr>
    </w:div>
    <w:div w:id="2084983055">
      <w:bodyDiv w:val="1"/>
      <w:marLeft w:val="0"/>
      <w:marRight w:val="0"/>
      <w:marTop w:val="0"/>
      <w:marBottom w:val="0"/>
      <w:divBdr>
        <w:top w:val="none" w:sz="0" w:space="0" w:color="auto"/>
        <w:left w:val="none" w:sz="0" w:space="0" w:color="auto"/>
        <w:bottom w:val="none" w:sz="0" w:space="0" w:color="auto"/>
        <w:right w:val="none" w:sz="0" w:space="0" w:color="auto"/>
      </w:divBdr>
    </w:div>
    <w:div w:id="2091927878">
      <w:bodyDiv w:val="1"/>
      <w:marLeft w:val="0"/>
      <w:marRight w:val="0"/>
      <w:marTop w:val="0"/>
      <w:marBottom w:val="0"/>
      <w:divBdr>
        <w:top w:val="none" w:sz="0" w:space="0" w:color="auto"/>
        <w:left w:val="none" w:sz="0" w:space="0" w:color="auto"/>
        <w:bottom w:val="none" w:sz="0" w:space="0" w:color="auto"/>
        <w:right w:val="none" w:sz="0" w:space="0" w:color="auto"/>
      </w:divBdr>
    </w:div>
    <w:div w:id="2119058825">
      <w:bodyDiv w:val="1"/>
      <w:marLeft w:val="0"/>
      <w:marRight w:val="0"/>
      <w:marTop w:val="0"/>
      <w:marBottom w:val="0"/>
      <w:divBdr>
        <w:top w:val="none" w:sz="0" w:space="0" w:color="auto"/>
        <w:left w:val="none" w:sz="0" w:space="0" w:color="auto"/>
        <w:bottom w:val="none" w:sz="0" w:space="0" w:color="auto"/>
        <w:right w:val="none" w:sz="0" w:space="0" w:color="auto"/>
      </w:divBdr>
    </w:div>
    <w:div w:id="2127120748">
      <w:bodyDiv w:val="1"/>
      <w:marLeft w:val="0"/>
      <w:marRight w:val="0"/>
      <w:marTop w:val="0"/>
      <w:marBottom w:val="0"/>
      <w:divBdr>
        <w:top w:val="none" w:sz="0" w:space="0" w:color="auto"/>
        <w:left w:val="none" w:sz="0" w:space="0" w:color="auto"/>
        <w:bottom w:val="none" w:sz="0" w:space="0" w:color="auto"/>
        <w:right w:val="none" w:sz="0" w:space="0" w:color="auto"/>
      </w:divBdr>
    </w:div>
    <w:div w:id="2136635169">
      <w:bodyDiv w:val="1"/>
      <w:marLeft w:val="0"/>
      <w:marRight w:val="0"/>
      <w:marTop w:val="0"/>
      <w:marBottom w:val="0"/>
      <w:divBdr>
        <w:top w:val="none" w:sz="0" w:space="0" w:color="auto"/>
        <w:left w:val="none" w:sz="0" w:space="0" w:color="auto"/>
        <w:bottom w:val="none" w:sz="0" w:space="0" w:color="auto"/>
        <w:right w:val="none" w:sz="0" w:space="0" w:color="auto"/>
      </w:divBdr>
    </w:div>
    <w:div w:id="2142847719">
      <w:bodyDiv w:val="1"/>
      <w:marLeft w:val="0"/>
      <w:marRight w:val="0"/>
      <w:marTop w:val="0"/>
      <w:marBottom w:val="0"/>
      <w:divBdr>
        <w:top w:val="none" w:sz="0" w:space="0" w:color="auto"/>
        <w:left w:val="none" w:sz="0" w:space="0" w:color="auto"/>
        <w:bottom w:val="none" w:sz="0" w:space="0" w:color="auto"/>
        <w:right w:val="none" w:sz="0" w:space="0" w:color="auto"/>
      </w:divBdr>
      <w:divsChild>
        <w:div w:id="939409796">
          <w:marLeft w:val="0"/>
          <w:marRight w:val="0"/>
          <w:marTop w:val="0"/>
          <w:marBottom w:val="0"/>
          <w:divBdr>
            <w:top w:val="none" w:sz="0" w:space="0" w:color="auto"/>
            <w:left w:val="none" w:sz="0" w:space="0" w:color="auto"/>
            <w:bottom w:val="none" w:sz="0" w:space="0" w:color="auto"/>
            <w:right w:val="none" w:sz="0" w:space="0" w:color="auto"/>
          </w:divBdr>
          <w:divsChild>
            <w:div w:id="953947526">
              <w:marLeft w:val="0"/>
              <w:marRight w:val="0"/>
              <w:marTop w:val="0"/>
              <w:marBottom w:val="0"/>
              <w:divBdr>
                <w:top w:val="none" w:sz="0" w:space="0" w:color="auto"/>
                <w:left w:val="none" w:sz="0" w:space="0" w:color="auto"/>
                <w:bottom w:val="none" w:sz="0" w:space="0" w:color="auto"/>
                <w:right w:val="none" w:sz="0" w:space="0" w:color="auto"/>
              </w:divBdr>
              <w:divsChild>
                <w:div w:id="40745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241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ntTable" Target="fontTable.xml"/><Relationship Id="R093d73babbaf4a74" Type="http://schemas.microsoft.com/office/2020/10/relationships/intelligence" Target="intelligence2.xml"/><Relationship Id="rId3" Type="http://schemas.openxmlformats.org/officeDocument/2006/relationships/styles" Target="styles.xml"/><Relationship Id="rId21" Type="http://schemas.openxmlformats.org/officeDocument/2006/relationships/image" Target="media/image14.png"/><Relationship Id="R94b176f4eacb411f"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omments" Target="comments.xml"/><Relationship Id="R3329c9e30a8544a5" Type="http://schemas.microsoft.com/office/2018/08/relationships/commentsExtensible" Target="commentsExtensi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20.gif"/></Relationships>
</file>

<file path=word/theme/theme1.xml><?xml version="1.0" encoding="utf-8"?>
<a:theme xmlns:a="http://schemas.openxmlformats.org/drawingml/2006/main" name="Office Theme">
  <a:themeElements>
    <a:clrScheme name="Graustuf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BB8402-EF4D-4AD2-9256-5C764EFE2B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186</Pages>
  <Words>27726</Words>
  <Characters>174674</Characters>
  <Application>Microsoft Office Word</Application>
  <DocSecurity>0</DocSecurity>
  <Lines>1455</Lines>
  <Paragraphs>403</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201997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Microsoft-Konto</dc:creator>
  <cp:keywords/>
  <dc:description/>
  <cp:lastModifiedBy>Microsoft-Konto</cp:lastModifiedBy>
  <cp:revision>160</cp:revision>
  <cp:lastPrinted>2024-12-28T14:25:00Z</cp:lastPrinted>
  <dcterms:created xsi:type="dcterms:W3CDTF">2024-12-25T17:52:00Z</dcterms:created>
  <dcterms:modified xsi:type="dcterms:W3CDTF">2024-12-30T22:22:00Z</dcterms:modified>
</cp:coreProperties>
</file>