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BEA" w:rsidRPr="002F2FAA" w:rsidRDefault="00DD7BEA" w:rsidP="00DD7BEA">
      <w:pPr>
        <w:pStyle w:val="Titel"/>
        <w:jc w:val="center"/>
        <w:rPr>
          <w:rFonts w:ascii="Arial Black" w:hAnsi="Arial Black"/>
          <w:b/>
          <w:bCs/>
          <w:sz w:val="100"/>
          <w:szCs w:val="100"/>
        </w:rPr>
      </w:pPr>
      <w:bookmarkStart w:id="0" w:name="_GoBack"/>
      <w:bookmarkEnd w:id="0"/>
      <w:r w:rsidRPr="002F2FAA">
        <w:rPr>
          <w:rFonts w:ascii="Arial Black" w:hAnsi="Arial Black"/>
          <w:b/>
          <w:bCs/>
          <w:noProof/>
          <w:sz w:val="100"/>
          <w:szCs w:val="100"/>
          <w:lang w:eastAsia="de-DE"/>
        </w:rPr>
        <w:drawing>
          <wp:anchor distT="0" distB="0" distL="114300" distR="114300" simplePos="0" relativeHeight="251661312" behindDoc="1" locked="0" layoutInCell="1" allowOverlap="1">
            <wp:simplePos x="0" y="0"/>
            <wp:positionH relativeFrom="column">
              <wp:posOffset>-659130</wp:posOffset>
            </wp:positionH>
            <wp:positionV relativeFrom="paragraph">
              <wp:posOffset>-920750</wp:posOffset>
            </wp:positionV>
            <wp:extent cx="9382125" cy="11029950"/>
            <wp:effectExtent l="5505450" t="5048250" r="5534025" b="7658100"/>
            <wp:wrapNone/>
            <wp:docPr id="1" name="Grafik 1" descr="CoverGA3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GA367.JPG"/>
                    <pic:cNvPicPr/>
                  </pic:nvPicPr>
                  <pic:blipFill>
                    <a:blip r:embed="rId8" cstate="print">
                      <a:lum bright="27000" contrast="-53000"/>
                    </a:blip>
                    <a:stretch>
                      <a:fillRect/>
                    </a:stretch>
                  </pic:blipFill>
                  <pic:spPr>
                    <a:xfrm>
                      <a:off x="0" y="0"/>
                      <a:ext cx="9387400" cy="11036151"/>
                    </a:xfrm>
                    <a:prstGeom prst="rect">
                      <a:avLst/>
                    </a:prstGeom>
                    <a:effectLst>
                      <a:outerShdw blurRad="1270000" dist="1320800" dir="5400000" sx="199000" sy="199000" algn="ctr" rotWithShape="0">
                        <a:srgbClr val="000000">
                          <a:alpha val="31000"/>
                        </a:srgbClr>
                      </a:outerShdw>
                    </a:effectLst>
                    <a:scene3d>
                      <a:camera prst="orthographicFront"/>
                      <a:lightRig rig="flat" dir="t"/>
                    </a:scene3d>
                    <a:sp3d prstMaterial="matte">
                      <a:bevelT w="133350" h="44450"/>
                      <a:bevelB w="50800"/>
                    </a:sp3d>
                  </pic:spPr>
                </pic:pic>
              </a:graphicData>
            </a:graphic>
          </wp:anchor>
        </w:drawing>
      </w:r>
      <w:r w:rsidRPr="002F2FAA">
        <w:rPr>
          <w:rFonts w:ascii="Arial Black" w:hAnsi="Arial Black"/>
          <w:b/>
          <w:bCs/>
          <w:sz w:val="100"/>
          <w:szCs w:val="100"/>
        </w:rPr>
        <w:t xml:space="preserve">Der dritte </w:t>
      </w:r>
      <w:r w:rsidR="000562DB" w:rsidRPr="002F2FAA">
        <w:rPr>
          <w:rFonts w:ascii="Arial Black" w:hAnsi="Arial Black"/>
          <w:b/>
          <w:bCs/>
          <w:sz w:val="100"/>
          <w:szCs w:val="100"/>
        </w:rPr>
        <w:br/>
      </w:r>
      <w:r w:rsidRPr="002F2FAA">
        <w:rPr>
          <w:rFonts w:ascii="Arial Black" w:hAnsi="Arial Black"/>
          <w:b/>
          <w:bCs/>
          <w:sz w:val="100"/>
          <w:szCs w:val="100"/>
        </w:rPr>
        <w:t>Johannesbrief</w:t>
      </w:r>
    </w:p>
    <w:p w:rsidR="00DD7BEA" w:rsidRPr="002F2FAA" w:rsidRDefault="00DD7BEA" w:rsidP="00DD7BEA">
      <w:pPr>
        <w:pStyle w:val="Titel"/>
        <w:rPr>
          <w:rFonts w:ascii="Arial Black" w:hAnsi="Arial Black"/>
          <w:b/>
          <w:bCs/>
          <w:sz w:val="32"/>
          <w:szCs w:val="32"/>
        </w:rPr>
      </w:pPr>
    </w:p>
    <w:p w:rsidR="00DD7BEA" w:rsidRPr="002F2FAA" w:rsidRDefault="00DD7BEA" w:rsidP="00DD7BEA">
      <w:pPr>
        <w:pStyle w:val="Titel"/>
        <w:rPr>
          <w:rFonts w:ascii="Arial Black" w:hAnsi="Arial Black"/>
          <w:b/>
          <w:bCs/>
          <w:sz w:val="32"/>
          <w:szCs w:val="32"/>
        </w:rPr>
      </w:pPr>
    </w:p>
    <w:p w:rsidR="00DD7BEA" w:rsidRPr="002F2FAA" w:rsidRDefault="00DD7BEA" w:rsidP="00DD7BEA">
      <w:pPr>
        <w:pStyle w:val="Titel"/>
        <w:rPr>
          <w:rFonts w:ascii="Arial Black" w:hAnsi="Arial Black"/>
          <w:b/>
          <w:bCs/>
          <w:sz w:val="60"/>
          <w:szCs w:val="60"/>
        </w:rPr>
      </w:pPr>
    </w:p>
    <w:p w:rsidR="00DD7BEA" w:rsidRPr="002F2FAA" w:rsidRDefault="00DD7BEA" w:rsidP="00DD7BEA">
      <w:pPr>
        <w:pStyle w:val="Titel"/>
        <w:rPr>
          <w:rFonts w:ascii="Arial Black" w:hAnsi="Arial Black"/>
          <w:b/>
          <w:bCs/>
          <w:sz w:val="60"/>
          <w:szCs w:val="60"/>
        </w:rPr>
      </w:pPr>
    </w:p>
    <w:p w:rsidR="000A7D44" w:rsidRDefault="000A7D44" w:rsidP="00DD7BEA">
      <w:pPr>
        <w:pStyle w:val="Titel"/>
        <w:rPr>
          <w:rFonts w:ascii="Arial Black" w:hAnsi="Arial Black"/>
          <w:b/>
          <w:bCs/>
          <w:sz w:val="60"/>
          <w:szCs w:val="60"/>
        </w:rPr>
      </w:pPr>
      <w:r>
        <w:rPr>
          <w:rFonts w:ascii="Arial Black" w:hAnsi="Arial Black"/>
          <w:b/>
          <w:bCs/>
          <w:sz w:val="60"/>
          <w:szCs w:val="60"/>
        </w:rPr>
        <w:br/>
      </w:r>
    </w:p>
    <w:p w:rsidR="000A7D44" w:rsidRDefault="000A7D44" w:rsidP="00DD7BEA">
      <w:pPr>
        <w:pStyle w:val="Titel"/>
        <w:rPr>
          <w:rFonts w:ascii="Arial Black" w:hAnsi="Arial Black"/>
          <w:b/>
          <w:bCs/>
          <w:sz w:val="60"/>
          <w:szCs w:val="60"/>
        </w:rPr>
      </w:pPr>
    </w:p>
    <w:p w:rsidR="00DD7BEA" w:rsidRPr="002F2FAA" w:rsidRDefault="000A7D44" w:rsidP="00DD7BEA">
      <w:pPr>
        <w:pStyle w:val="Titel"/>
        <w:rPr>
          <w:rFonts w:ascii="Arial Black" w:hAnsi="Arial Black"/>
          <w:b/>
          <w:bCs/>
          <w:sz w:val="60"/>
          <w:szCs w:val="60"/>
        </w:rPr>
      </w:pPr>
      <w:r>
        <w:rPr>
          <w:rFonts w:ascii="Arial Black" w:hAnsi="Arial Black"/>
          <w:b/>
          <w:bCs/>
          <w:sz w:val="60"/>
          <w:szCs w:val="60"/>
        </w:rPr>
        <w:t>Diskurs,</w:t>
      </w:r>
      <w:r w:rsidR="00DD7BEA" w:rsidRPr="002F2FAA">
        <w:rPr>
          <w:rFonts w:ascii="Arial Black" w:hAnsi="Arial Black"/>
          <w:b/>
          <w:bCs/>
          <w:sz w:val="60"/>
          <w:szCs w:val="60"/>
        </w:rPr>
        <w:t xml:space="preserve"> </w:t>
      </w:r>
    </w:p>
    <w:p w:rsidR="00DD7BEA" w:rsidRPr="002F2FAA" w:rsidRDefault="00DD7BEA" w:rsidP="00DD7BEA">
      <w:pPr>
        <w:pStyle w:val="Titel"/>
        <w:rPr>
          <w:rFonts w:ascii="Arial Black" w:hAnsi="Arial Black"/>
          <w:b/>
          <w:bCs/>
          <w:sz w:val="60"/>
          <w:szCs w:val="60"/>
        </w:rPr>
      </w:pPr>
      <w:r w:rsidRPr="002F2FAA">
        <w:rPr>
          <w:rFonts w:ascii="Arial Black" w:hAnsi="Arial Black"/>
          <w:b/>
          <w:bCs/>
          <w:sz w:val="60"/>
          <w:szCs w:val="60"/>
        </w:rPr>
        <w:t xml:space="preserve">Text und Übersetzung </w:t>
      </w:r>
    </w:p>
    <w:p w:rsidR="00DD7BEA" w:rsidRPr="002F2FAA" w:rsidRDefault="00DD7BEA" w:rsidP="00DD7BEA">
      <w:pPr>
        <w:pStyle w:val="Titel"/>
        <w:rPr>
          <w:rFonts w:ascii="Arial Black" w:hAnsi="Arial Black"/>
          <w:b/>
          <w:bCs/>
          <w:sz w:val="60"/>
          <w:szCs w:val="60"/>
        </w:rPr>
      </w:pPr>
      <w:r w:rsidRPr="002F2FAA">
        <w:rPr>
          <w:rFonts w:ascii="Arial Black" w:hAnsi="Arial Black"/>
          <w:b/>
          <w:bCs/>
          <w:sz w:val="60"/>
          <w:szCs w:val="60"/>
        </w:rPr>
        <w:t>mit Kommentar</w:t>
      </w:r>
    </w:p>
    <w:p w:rsidR="00DD7BEA" w:rsidRPr="002F2FAA" w:rsidRDefault="00DD7BEA" w:rsidP="00DD7BEA">
      <w:pPr>
        <w:pStyle w:val="Titel"/>
        <w:rPr>
          <w:rFonts w:ascii="Arial Black" w:hAnsi="Arial Black"/>
          <w:b/>
          <w:bCs/>
          <w:sz w:val="32"/>
          <w:szCs w:val="32"/>
        </w:rPr>
      </w:pPr>
    </w:p>
    <w:p w:rsidR="00DD7BEA" w:rsidRPr="002F2FAA" w:rsidRDefault="00DD7BEA" w:rsidP="00DD7BEA">
      <w:pPr>
        <w:pStyle w:val="Titel"/>
        <w:rPr>
          <w:rFonts w:ascii="Arial Black" w:hAnsi="Arial Black"/>
          <w:b/>
          <w:bCs/>
          <w:sz w:val="32"/>
          <w:szCs w:val="32"/>
        </w:rPr>
      </w:pPr>
    </w:p>
    <w:p w:rsidR="00DD7BEA" w:rsidRPr="002F2FAA" w:rsidRDefault="00DD7BEA" w:rsidP="00DD7BEA">
      <w:pPr>
        <w:pStyle w:val="Titel"/>
        <w:rPr>
          <w:rFonts w:ascii="Arial Black" w:hAnsi="Arial Black"/>
          <w:b/>
          <w:bCs/>
          <w:sz w:val="32"/>
          <w:szCs w:val="32"/>
        </w:rPr>
      </w:pPr>
    </w:p>
    <w:p w:rsidR="00DD7BEA" w:rsidRPr="002F2FAA" w:rsidRDefault="00DD7BEA" w:rsidP="00DD7BEA">
      <w:pPr>
        <w:pStyle w:val="Titel"/>
        <w:jc w:val="right"/>
        <w:rPr>
          <w:rFonts w:ascii="Bernard MT Condensed" w:hAnsi="Bernard MT Condensed"/>
          <w:b/>
          <w:bCs/>
          <w:sz w:val="32"/>
          <w:szCs w:val="32"/>
        </w:rPr>
      </w:pPr>
    </w:p>
    <w:p w:rsidR="00DD7BEA" w:rsidRPr="002F2FAA" w:rsidRDefault="00DD7BEA" w:rsidP="00DD7BEA">
      <w:pPr>
        <w:pStyle w:val="Titel"/>
        <w:jc w:val="right"/>
        <w:rPr>
          <w:rFonts w:ascii="Bernard MT Condensed" w:hAnsi="Bernard MT Condensed"/>
          <w:b/>
          <w:bCs/>
          <w:sz w:val="32"/>
          <w:szCs w:val="32"/>
        </w:rPr>
      </w:pPr>
    </w:p>
    <w:p w:rsidR="00DD7BEA" w:rsidRPr="002F2FAA" w:rsidRDefault="00DD7BEA" w:rsidP="00DD7BEA">
      <w:pPr>
        <w:pStyle w:val="Titel"/>
        <w:jc w:val="right"/>
        <w:rPr>
          <w:rFonts w:ascii="Bernard MT Condensed" w:hAnsi="Bernard MT Condensed"/>
          <w:b/>
          <w:bCs/>
          <w:sz w:val="32"/>
          <w:szCs w:val="32"/>
        </w:rPr>
      </w:pPr>
    </w:p>
    <w:p w:rsidR="00DD7BEA" w:rsidRPr="002F2FAA" w:rsidRDefault="00DD7BEA" w:rsidP="00DD7BEA">
      <w:pPr>
        <w:pStyle w:val="Titel"/>
        <w:jc w:val="right"/>
        <w:rPr>
          <w:rFonts w:ascii="Bernard MT Condensed" w:hAnsi="Bernard MT Condensed"/>
          <w:b/>
          <w:bCs/>
          <w:sz w:val="40"/>
          <w:szCs w:val="40"/>
        </w:rPr>
      </w:pPr>
    </w:p>
    <w:p w:rsidR="00DD7BEA" w:rsidRPr="002F2FAA" w:rsidRDefault="00DD7BEA" w:rsidP="00DD7BEA">
      <w:pPr>
        <w:pStyle w:val="Titel"/>
        <w:jc w:val="right"/>
        <w:rPr>
          <w:rFonts w:ascii="Arial Black" w:hAnsi="Arial Black"/>
          <w:b/>
          <w:bCs/>
          <w:sz w:val="40"/>
          <w:szCs w:val="40"/>
        </w:rPr>
      </w:pPr>
      <w:r w:rsidRPr="002F2FAA">
        <w:rPr>
          <w:rFonts w:ascii="Bernard MT Condensed" w:hAnsi="Bernard MT Condensed"/>
          <w:b/>
          <w:bCs/>
          <w:sz w:val="40"/>
          <w:szCs w:val="40"/>
        </w:rPr>
        <w:t>Peter Streitenberger</w:t>
      </w:r>
    </w:p>
    <w:p w:rsidR="00DD7BEA" w:rsidRPr="002F2FAA" w:rsidRDefault="00DD7BEA" w:rsidP="00DD7BEA">
      <w:pPr>
        <w:pStyle w:val="berschrift1"/>
        <w:rPr>
          <w:sz w:val="32"/>
          <w:szCs w:val="32"/>
        </w:rPr>
      </w:pPr>
    </w:p>
    <w:p w:rsidR="00DD7BEA" w:rsidRPr="002F2FAA" w:rsidRDefault="00DD7BEA" w:rsidP="00DD7BEA">
      <w:pPr>
        <w:pStyle w:val="berschrift1"/>
        <w:rPr>
          <w:sz w:val="32"/>
          <w:szCs w:val="32"/>
        </w:rPr>
      </w:pPr>
      <w:bookmarkStart w:id="1" w:name="_Toc524603616"/>
      <w:r w:rsidRPr="002F2FAA">
        <w:rPr>
          <w:sz w:val="32"/>
          <w:szCs w:val="32"/>
        </w:rPr>
        <w:t>Impressum</w:t>
      </w:r>
      <w:bookmarkEnd w:id="1"/>
    </w:p>
    <w:p w:rsidR="00DD7BEA" w:rsidRPr="002F2FAA" w:rsidRDefault="00DD7BEA" w:rsidP="00DD7BEA">
      <w:pPr>
        <w:rPr>
          <w:sz w:val="32"/>
          <w:szCs w:val="32"/>
        </w:rPr>
      </w:pPr>
      <w:r w:rsidRPr="002F2FAA">
        <w:rPr>
          <w:sz w:val="32"/>
          <w:szCs w:val="32"/>
        </w:rPr>
        <w:br/>
        <w:t>Die Arbeit ist frei für verfügbar und kann kostenlos genutzt und k</w:t>
      </w:r>
      <w:r w:rsidRPr="002F2FAA">
        <w:rPr>
          <w:sz w:val="32"/>
          <w:szCs w:val="32"/>
        </w:rPr>
        <w:t>o</w:t>
      </w:r>
      <w:r w:rsidRPr="002F2FAA">
        <w:rPr>
          <w:sz w:val="32"/>
          <w:szCs w:val="32"/>
        </w:rPr>
        <w:t>piert werden. Sie darf nicht verkauft werden. Wenn diese weiterg</w:t>
      </w:r>
      <w:r w:rsidRPr="002F2FAA">
        <w:rPr>
          <w:sz w:val="32"/>
          <w:szCs w:val="32"/>
        </w:rPr>
        <w:t>e</w:t>
      </w:r>
      <w:r w:rsidRPr="002F2FAA">
        <w:rPr>
          <w:sz w:val="32"/>
          <w:szCs w:val="32"/>
        </w:rPr>
        <w:t>reicht wird oder Passagen zitiert werden, ist ein Hinweis auf die Que</w:t>
      </w:r>
      <w:r w:rsidRPr="002F2FAA">
        <w:rPr>
          <w:sz w:val="32"/>
          <w:szCs w:val="32"/>
        </w:rPr>
        <w:t>l</w:t>
      </w:r>
      <w:r w:rsidRPr="002F2FAA">
        <w:rPr>
          <w:sz w:val="32"/>
          <w:szCs w:val="32"/>
        </w:rPr>
        <w:t xml:space="preserve">le notwendig, Änderungen des Wortlauts etc. sind nicht zulässig.   </w:t>
      </w:r>
    </w:p>
    <w:p w:rsidR="00DD7BEA" w:rsidRPr="002F2FAA" w:rsidRDefault="00DD7BEA" w:rsidP="00DD7BEA">
      <w:pPr>
        <w:rPr>
          <w:sz w:val="32"/>
          <w:szCs w:val="32"/>
        </w:rPr>
      </w:pPr>
      <w:r w:rsidRPr="002F2FAA">
        <w:rPr>
          <w:sz w:val="32"/>
          <w:szCs w:val="32"/>
        </w:rPr>
        <w:t>Anmerkungen Lob, Tadel, Verbesserungen aller Art bitte an: streite</w:t>
      </w:r>
      <w:r w:rsidRPr="002F2FAA">
        <w:rPr>
          <w:sz w:val="32"/>
          <w:szCs w:val="32"/>
        </w:rPr>
        <w:t>n</w:t>
      </w:r>
      <w:r w:rsidRPr="002F2FAA">
        <w:rPr>
          <w:sz w:val="32"/>
          <w:szCs w:val="32"/>
        </w:rPr>
        <w:t>berger_Peter@yahoo.de</w:t>
      </w:r>
    </w:p>
    <w:p w:rsidR="00DD7BEA" w:rsidRPr="002F2FAA" w:rsidRDefault="00DD7BEA" w:rsidP="00DD7BEA">
      <w:pPr>
        <w:shd w:val="clear" w:color="auto" w:fill="FFFFFF"/>
        <w:spacing w:line="288" w:lineRule="auto"/>
        <w:rPr>
          <w:sz w:val="32"/>
          <w:szCs w:val="32"/>
        </w:rPr>
      </w:pPr>
      <w:r w:rsidRPr="002F2FAA">
        <w:rPr>
          <w:sz w:val="32"/>
          <w:szCs w:val="32"/>
        </w:rPr>
        <w:t xml:space="preserve">Unterstützung: Kontoinhaber: Peter Streitenberger, </w:t>
      </w:r>
      <w:hyperlink r:id="rId9" w:history="1">
        <w:r w:rsidRPr="002F2FAA">
          <w:rPr>
            <w:sz w:val="32"/>
            <w:szCs w:val="32"/>
          </w:rPr>
          <w:t>DE46721608180008221057, Volksbank Eichstätt.</w:t>
        </w:r>
      </w:hyperlink>
      <w:r w:rsidRPr="002F2FAA">
        <w:rPr>
          <w:sz w:val="32"/>
          <w:szCs w:val="32"/>
        </w:rPr>
        <w:t xml:space="preserve"> Paypal: </w:t>
      </w:r>
      <w:hyperlink r:id="rId10" w:history="1">
        <w:r w:rsidRPr="002F2FAA">
          <w:rPr>
            <w:sz w:val="32"/>
            <w:szCs w:val="32"/>
          </w:rPr>
          <w:t>Pe</w:t>
        </w:r>
        <w:r w:rsidRPr="002F2FAA">
          <w:rPr>
            <w:sz w:val="32"/>
            <w:szCs w:val="32"/>
          </w:rPr>
          <w:t>t</w:t>
        </w:r>
        <w:r w:rsidRPr="002F2FAA">
          <w:rPr>
            <w:sz w:val="32"/>
            <w:szCs w:val="32"/>
          </w:rPr>
          <w:t>ra.Streitenberger@live.de</w:t>
        </w:r>
      </w:hyperlink>
      <w:r w:rsidRPr="002F2FAA">
        <w:rPr>
          <w:sz w:val="32"/>
          <w:szCs w:val="32"/>
        </w:rPr>
        <w:t>.</w:t>
      </w:r>
    </w:p>
    <w:p w:rsidR="00DD7BEA" w:rsidRPr="00D426DC" w:rsidRDefault="00DD7BEA" w:rsidP="00DD7BEA">
      <w:pPr>
        <w:pStyle w:val="yiv0834682144msonormal"/>
        <w:pBdr>
          <w:bottom w:val="single" w:sz="6" w:space="0" w:color="F1F1F5"/>
        </w:pBdr>
        <w:shd w:val="clear" w:color="auto" w:fill="F4F4F7"/>
        <w:rPr>
          <w:rFonts w:asciiTheme="minorHAnsi" w:eastAsiaTheme="minorHAnsi" w:hAnsiTheme="minorHAnsi" w:cstheme="minorBidi"/>
          <w:sz w:val="32"/>
          <w:szCs w:val="32"/>
          <w:lang w:val="en-US" w:eastAsia="en-US"/>
        </w:rPr>
      </w:pPr>
      <w:r w:rsidRPr="002F2FAA">
        <w:rPr>
          <w:rFonts w:asciiTheme="minorHAnsi" w:eastAsiaTheme="minorHAnsi" w:hAnsiTheme="minorHAnsi" w:cstheme="minorBidi"/>
          <w:sz w:val="32"/>
          <w:szCs w:val="32"/>
          <w:lang w:eastAsia="en-US"/>
        </w:rPr>
        <w:t>Coverbild: Handschrift Nr. 367, Anfang der Offenbarung, The Bibli</w:t>
      </w:r>
      <w:r w:rsidRPr="002F2FAA">
        <w:rPr>
          <w:rFonts w:asciiTheme="minorHAnsi" w:eastAsiaTheme="minorHAnsi" w:hAnsiTheme="minorHAnsi" w:cstheme="minorBidi"/>
          <w:sz w:val="32"/>
          <w:szCs w:val="32"/>
          <w:lang w:eastAsia="en-US"/>
        </w:rPr>
        <w:t>o</w:t>
      </w:r>
      <w:r w:rsidRPr="002F2FAA">
        <w:rPr>
          <w:rFonts w:asciiTheme="minorHAnsi" w:eastAsiaTheme="minorHAnsi" w:hAnsiTheme="minorHAnsi" w:cstheme="minorBidi"/>
          <w:sz w:val="32"/>
          <w:szCs w:val="32"/>
          <w:lang w:eastAsia="en-US"/>
        </w:rPr>
        <w:t xml:space="preserve">teca Medicea Laurenziana, ms. </w:t>
      </w:r>
      <w:r w:rsidRPr="00D426DC">
        <w:rPr>
          <w:rFonts w:asciiTheme="minorHAnsi" w:eastAsiaTheme="minorHAnsi" w:hAnsiTheme="minorHAnsi" w:cstheme="minorBidi"/>
          <w:sz w:val="32"/>
          <w:szCs w:val="32"/>
          <w:lang w:val="en-US" w:eastAsia="en-US"/>
        </w:rPr>
        <w:t>Conv. Soppr. 53, f. 1r, Reproduced with permission of MiBACT. Further reproduction by any means is prohibited.</w:t>
      </w:r>
    </w:p>
    <w:p w:rsidR="00DD7BEA" w:rsidRPr="002F2FAA" w:rsidRDefault="00DD7BEA" w:rsidP="0039672B">
      <w:pPr>
        <w:rPr>
          <w:sz w:val="32"/>
          <w:szCs w:val="32"/>
        </w:rPr>
      </w:pPr>
      <w:r w:rsidRPr="002F2FAA">
        <w:rPr>
          <w:sz w:val="32"/>
          <w:szCs w:val="32"/>
        </w:rPr>
        <w:t xml:space="preserve">Ingolstadt, </w:t>
      </w:r>
      <w:r w:rsidR="0039672B">
        <w:rPr>
          <w:sz w:val="32"/>
          <w:szCs w:val="32"/>
        </w:rPr>
        <w:t>10</w:t>
      </w:r>
      <w:r w:rsidRPr="002F2FAA">
        <w:rPr>
          <w:sz w:val="32"/>
          <w:szCs w:val="32"/>
        </w:rPr>
        <w:t>.</w:t>
      </w:r>
      <w:r w:rsidR="0039672B">
        <w:rPr>
          <w:sz w:val="32"/>
          <w:szCs w:val="32"/>
        </w:rPr>
        <w:t>01</w:t>
      </w:r>
      <w:r w:rsidR="00487BB5">
        <w:rPr>
          <w:sz w:val="32"/>
          <w:szCs w:val="32"/>
        </w:rPr>
        <w:t>.</w:t>
      </w:r>
      <w:r w:rsidRPr="002F2FAA">
        <w:rPr>
          <w:sz w:val="32"/>
          <w:szCs w:val="32"/>
        </w:rPr>
        <w:t>20</w:t>
      </w:r>
      <w:r w:rsidR="0039672B">
        <w:rPr>
          <w:sz w:val="32"/>
          <w:szCs w:val="32"/>
        </w:rPr>
        <w:t>20</w:t>
      </w:r>
      <w:r w:rsidRPr="002F2FAA">
        <w:rPr>
          <w:sz w:val="32"/>
          <w:szCs w:val="32"/>
        </w:rPr>
        <w:t xml:space="preserve"> </w:t>
      </w:r>
    </w:p>
    <w:p w:rsidR="00DD7BEA" w:rsidRPr="002F2FAA" w:rsidRDefault="00DD7BEA" w:rsidP="00DD7BEA">
      <w:pPr>
        <w:rPr>
          <w:sz w:val="32"/>
          <w:szCs w:val="32"/>
        </w:rPr>
      </w:pPr>
      <w:r w:rsidRPr="002F2FAA">
        <w:rPr>
          <w:sz w:val="32"/>
          <w:szCs w:val="32"/>
        </w:rPr>
        <w:t xml:space="preserve">M.A. phil. (Univ.) Peter M. Streitenberger </w:t>
      </w:r>
    </w:p>
    <w:p w:rsidR="00DD7BEA" w:rsidRPr="002F2FAA" w:rsidRDefault="00DD7BEA" w:rsidP="00DD7BEA">
      <w:pPr>
        <w:rPr>
          <w:sz w:val="32"/>
          <w:szCs w:val="32"/>
        </w:rPr>
      </w:pPr>
      <w:r w:rsidRPr="002F2FAA">
        <w:rPr>
          <w:sz w:val="32"/>
          <w:szCs w:val="32"/>
        </w:rPr>
        <w:br w:type="page"/>
      </w:r>
    </w:p>
    <w:p w:rsidR="00DD7BEA" w:rsidRPr="002F2FAA" w:rsidRDefault="00DD7BEA" w:rsidP="00DD7BEA">
      <w:pPr>
        <w:pStyle w:val="berschrift1"/>
      </w:pPr>
      <w:bookmarkStart w:id="2" w:name="_Toc524603617"/>
      <w:r w:rsidRPr="002F2FAA">
        <w:lastRenderedPageBreak/>
        <w:t>Zur Person des Autors</w:t>
      </w:r>
      <w:bookmarkEnd w:id="2"/>
      <w:r w:rsidRPr="002F2FAA">
        <w:t xml:space="preserve">  </w:t>
      </w:r>
    </w:p>
    <w:p w:rsidR="00DD7BEA" w:rsidRPr="002F2FAA" w:rsidRDefault="00DD7BEA" w:rsidP="0039672B">
      <w:pPr>
        <w:rPr>
          <w:sz w:val="32"/>
          <w:szCs w:val="32"/>
        </w:rPr>
      </w:pPr>
      <w:r w:rsidRPr="002F2FAA">
        <w:rPr>
          <w:sz w:val="32"/>
          <w:szCs w:val="32"/>
        </w:rPr>
        <w:t>Peter Streitenberger (Jahrgang 1970) absolvierte nach erfolgreichem Schulabschluss eine Ausbildung und war einige Jahre in der ambula</w:t>
      </w:r>
      <w:r w:rsidRPr="002F2FAA">
        <w:rPr>
          <w:sz w:val="32"/>
          <w:szCs w:val="32"/>
        </w:rPr>
        <w:t>n</w:t>
      </w:r>
      <w:r w:rsidRPr="002F2FAA">
        <w:rPr>
          <w:sz w:val="32"/>
          <w:szCs w:val="32"/>
        </w:rPr>
        <w:t>ten Pflege tätig. 1993 wurde er nach einer Evangelisation in Ansbach Christ. Er versammelt sich bis heute mit anderen Christen. Nach e</w:t>
      </w:r>
      <w:r w:rsidRPr="002F2FAA">
        <w:rPr>
          <w:sz w:val="32"/>
          <w:szCs w:val="32"/>
        </w:rPr>
        <w:t>i</w:t>
      </w:r>
      <w:r w:rsidRPr="002F2FAA">
        <w:rPr>
          <w:sz w:val="32"/>
          <w:szCs w:val="32"/>
        </w:rPr>
        <w:t>nem erfolgreich abgeschlossenen Studium und der Anerkennung des Titels eines Dipl.-Sozialpäd. konnte er ein Zweitstudium des Faches Germanistik an der Universität Eichstätt-Ingolstadt als Magister Art</w:t>
      </w:r>
      <w:r w:rsidRPr="002F2FAA">
        <w:rPr>
          <w:sz w:val="32"/>
          <w:szCs w:val="32"/>
        </w:rPr>
        <w:t>i</w:t>
      </w:r>
      <w:r w:rsidRPr="002F2FAA">
        <w:rPr>
          <w:sz w:val="32"/>
          <w:szCs w:val="32"/>
        </w:rPr>
        <w:t>um erfolgreich abschließen. Im Zuge seines Studiums konnte er ak</w:t>
      </w:r>
      <w:r w:rsidRPr="002F2FAA">
        <w:rPr>
          <w:sz w:val="32"/>
          <w:szCs w:val="32"/>
        </w:rPr>
        <w:t>a</w:t>
      </w:r>
      <w:r w:rsidRPr="002F2FAA">
        <w:rPr>
          <w:sz w:val="32"/>
          <w:szCs w:val="32"/>
        </w:rPr>
        <w:t>demische Abschlüsse im Fach biblisches Hebräisch und ausgedehnte Studien zu Aramäisch ablegen. Daneben konnte er im Gymnasium bzw. in der Universität Latein und klassisches Griechisch erlernen und erfolgreiche Prüfungen in diesen Fächern ablegen. Seit vielen Jahren moderiert er die Austauschplattform für biblisches Hebräisch und Griechisch (www.bibelgriechisch.</w:t>
      </w:r>
      <w:r w:rsidR="0039672B">
        <w:rPr>
          <w:sz w:val="32"/>
          <w:szCs w:val="32"/>
        </w:rPr>
        <w:t>online</w:t>
      </w:r>
      <w:r w:rsidRPr="002F2FAA">
        <w:rPr>
          <w:sz w:val="32"/>
          <w:szCs w:val="32"/>
        </w:rPr>
        <w:t>). Er arbeitet für Verlage als Lektor und ist selbst auch als Autor tätig; eine Liste seiner Veröffen</w:t>
      </w:r>
      <w:r w:rsidRPr="002F2FAA">
        <w:rPr>
          <w:sz w:val="32"/>
          <w:szCs w:val="32"/>
        </w:rPr>
        <w:t>t</w:t>
      </w:r>
      <w:r w:rsidRPr="002F2FAA">
        <w:rPr>
          <w:sz w:val="32"/>
          <w:szCs w:val="32"/>
        </w:rPr>
        <w:t xml:space="preserve">lichungen kann bei ihm angefordert werden.    </w:t>
      </w:r>
    </w:p>
    <w:p w:rsidR="00DD7BEA" w:rsidRPr="002F2FAA" w:rsidRDefault="00DD7BEA" w:rsidP="00DD7BEA">
      <w:pPr>
        <w:rPr>
          <w:rFonts w:asciiTheme="majorHAnsi" w:eastAsiaTheme="majorEastAsia" w:hAnsiTheme="majorHAnsi" w:cstheme="majorBidi"/>
          <w:b/>
          <w:bCs/>
          <w:color w:val="365F91" w:themeColor="accent1" w:themeShade="BF"/>
          <w:sz w:val="32"/>
          <w:szCs w:val="32"/>
        </w:rPr>
      </w:pPr>
      <w:r w:rsidRPr="002F2FAA">
        <w:rPr>
          <w:sz w:val="32"/>
          <w:szCs w:val="32"/>
        </w:rPr>
        <w:br w:type="page"/>
      </w:r>
    </w:p>
    <w:sdt>
      <w:sdtPr>
        <w:rPr>
          <w:rFonts w:asciiTheme="minorHAnsi" w:eastAsiaTheme="minorHAnsi" w:hAnsiTheme="minorHAnsi" w:cstheme="minorBidi"/>
          <w:b w:val="0"/>
          <w:bCs w:val="0"/>
          <w:color w:val="auto"/>
          <w:sz w:val="40"/>
          <w:szCs w:val="40"/>
          <w:lang w:bidi="he-IL"/>
        </w:rPr>
        <w:id w:val="107341469"/>
        <w:docPartObj>
          <w:docPartGallery w:val="Table of Contents"/>
          <w:docPartUnique/>
        </w:docPartObj>
      </w:sdtPr>
      <w:sdtEndPr>
        <w:rPr>
          <w:sz w:val="56"/>
          <w:szCs w:val="56"/>
        </w:rPr>
      </w:sdtEndPr>
      <w:sdtContent>
        <w:p w:rsidR="00DD7BEA" w:rsidRPr="000A7D44" w:rsidRDefault="00DD7BEA" w:rsidP="000A7D44">
          <w:pPr>
            <w:pStyle w:val="Inhaltsverzeichnisberschrift"/>
            <w:rPr>
              <w:sz w:val="72"/>
              <w:szCs w:val="72"/>
            </w:rPr>
          </w:pPr>
          <w:r w:rsidRPr="000A7D44">
            <w:rPr>
              <w:sz w:val="72"/>
              <w:szCs w:val="72"/>
            </w:rPr>
            <w:t>Inhalt</w:t>
          </w:r>
          <w:r w:rsidR="000A7D44">
            <w:rPr>
              <w:sz w:val="72"/>
              <w:szCs w:val="72"/>
            </w:rPr>
            <w:t>sangabe</w:t>
          </w:r>
          <w:r w:rsidR="000A7D44">
            <w:rPr>
              <w:sz w:val="72"/>
              <w:szCs w:val="72"/>
            </w:rPr>
            <w:br/>
          </w:r>
          <w:r w:rsidR="000A7D44">
            <w:rPr>
              <w:sz w:val="72"/>
              <w:szCs w:val="72"/>
            </w:rPr>
            <w:br/>
          </w:r>
        </w:p>
        <w:p w:rsidR="000A7D44" w:rsidRPr="000A7D44" w:rsidRDefault="00290A7D" w:rsidP="000A7D44">
          <w:pPr>
            <w:pStyle w:val="Verzeichnis1"/>
            <w:rPr>
              <w:rFonts w:eastAsiaTheme="minorEastAsia"/>
              <w:sz w:val="56"/>
              <w:szCs w:val="56"/>
              <w:lang w:eastAsia="de-DE"/>
            </w:rPr>
          </w:pPr>
          <w:r w:rsidRPr="000A7D44">
            <w:rPr>
              <w:sz w:val="56"/>
              <w:szCs w:val="56"/>
            </w:rPr>
            <w:fldChar w:fldCharType="begin"/>
          </w:r>
          <w:r w:rsidR="00DD7BEA" w:rsidRPr="000A7D44">
            <w:rPr>
              <w:sz w:val="56"/>
              <w:szCs w:val="56"/>
            </w:rPr>
            <w:instrText xml:space="preserve"> TOC \o "1-3" \h \z \u </w:instrText>
          </w:r>
          <w:r w:rsidRPr="000A7D44">
            <w:rPr>
              <w:sz w:val="56"/>
              <w:szCs w:val="56"/>
            </w:rPr>
            <w:fldChar w:fldCharType="separate"/>
          </w:r>
          <w:hyperlink w:anchor="_Toc524603616" w:history="1">
            <w:r w:rsidR="000A7D44" w:rsidRPr="000A7D44">
              <w:rPr>
                <w:rStyle w:val="Hyperlink"/>
                <w:sz w:val="56"/>
                <w:szCs w:val="56"/>
              </w:rPr>
              <w:t>Impressum</w:t>
            </w:r>
            <w:r w:rsidR="000A7D44" w:rsidRPr="000A7D44">
              <w:rPr>
                <w:webHidden/>
                <w:sz w:val="56"/>
                <w:szCs w:val="56"/>
              </w:rPr>
              <w:tab/>
            </w:r>
            <w:r w:rsidRPr="000A7D44">
              <w:rPr>
                <w:webHidden/>
                <w:sz w:val="56"/>
                <w:szCs w:val="56"/>
              </w:rPr>
              <w:fldChar w:fldCharType="begin"/>
            </w:r>
            <w:r w:rsidR="000A7D44" w:rsidRPr="000A7D44">
              <w:rPr>
                <w:webHidden/>
                <w:sz w:val="56"/>
                <w:szCs w:val="56"/>
              </w:rPr>
              <w:instrText xml:space="preserve"> PAGEREF _Toc524603616 \h </w:instrText>
            </w:r>
            <w:r w:rsidRPr="000A7D44">
              <w:rPr>
                <w:webHidden/>
                <w:sz w:val="56"/>
                <w:szCs w:val="56"/>
              </w:rPr>
            </w:r>
            <w:r w:rsidRPr="000A7D44">
              <w:rPr>
                <w:webHidden/>
                <w:sz w:val="56"/>
                <w:szCs w:val="56"/>
              </w:rPr>
              <w:fldChar w:fldCharType="separate"/>
            </w:r>
            <w:r w:rsidR="00487BB5">
              <w:rPr>
                <w:webHidden/>
                <w:sz w:val="56"/>
                <w:szCs w:val="56"/>
              </w:rPr>
              <w:t>2</w:t>
            </w:r>
            <w:r w:rsidRPr="000A7D44">
              <w:rPr>
                <w:webHidden/>
                <w:sz w:val="56"/>
                <w:szCs w:val="56"/>
              </w:rPr>
              <w:fldChar w:fldCharType="end"/>
            </w:r>
          </w:hyperlink>
        </w:p>
        <w:p w:rsidR="000A7D44" w:rsidRPr="000A7D44" w:rsidRDefault="000A7D44" w:rsidP="000A7D44">
          <w:pPr>
            <w:pStyle w:val="Verzeichnis1"/>
            <w:rPr>
              <w:rFonts w:eastAsiaTheme="minorEastAsia"/>
              <w:sz w:val="56"/>
              <w:szCs w:val="56"/>
              <w:lang w:eastAsia="de-DE"/>
            </w:rPr>
          </w:pPr>
          <w:r w:rsidRPr="000A7D44">
            <w:rPr>
              <w:rStyle w:val="Hyperlink"/>
              <w:sz w:val="56"/>
              <w:szCs w:val="56"/>
            </w:rPr>
            <w:br/>
          </w:r>
          <w:hyperlink w:anchor="_Toc524603617" w:history="1">
            <w:r w:rsidRPr="000A7D44">
              <w:rPr>
                <w:rStyle w:val="Hyperlink"/>
                <w:sz w:val="56"/>
                <w:szCs w:val="56"/>
              </w:rPr>
              <w:t>Zur Person des Autors</w:t>
            </w:r>
            <w:r w:rsidRPr="000A7D44">
              <w:rPr>
                <w:webHidden/>
                <w:sz w:val="56"/>
                <w:szCs w:val="56"/>
              </w:rPr>
              <w:tab/>
            </w:r>
            <w:r w:rsidR="00290A7D" w:rsidRPr="000A7D44">
              <w:rPr>
                <w:webHidden/>
                <w:sz w:val="56"/>
                <w:szCs w:val="56"/>
              </w:rPr>
              <w:fldChar w:fldCharType="begin"/>
            </w:r>
            <w:r w:rsidRPr="000A7D44">
              <w:rPr>
                <w:webHidden/>
                <w:sz w:val="56"/>
                <w:szCs w:val="56"/>
              </w:rPr>
              <w:instrText xml:space="preserve"> PAGEREF _Toc524603617 \h </w:instrText>
            </w:r>
            <w:r w:rsidR="00290A7D" w:rsidRPr="000A7D44">
              <w:rPr>
                <w:webHidden/>
                <w:sz w:val="56"/>
                <w:szCs w:val="56"/>
              </w:rPr>
            </w:r>
            <w:r w:rsidR="00290A7D" w:rsidRPr="000A7D44">
              <w:rPr>
                <w:webHidden/>
                <w:sz w:val="56"/>
                <w:szCs w:val="56"/>
              </w:rPr>
              <w:fldChar w:fldCharType="separate"/>
            </w:r>
            <w:r w:rsidR="00487BB5">
              <w:rPr>
                <w:webHidden/>
                <w:sz w:val="56"/>
                <w:szCs w:val="56"/>
              </w:rPr>
              <w:t>3</w:t>
            </w:r>
            <w:r w:rsidR="00290A7D" w:rsidRPr="000A7D44">
              <w:rPr>
                <w:webHidden/>
                <w:sz w:val="56"/>
                <w:szCs w:val="56"/>
              </w:rPr>
              <w:fldChar w:fldCharType="end"/>
            </w:r>
          </w:hyperlink>
        </w:p>
        <w:p w:rsidR="000A7D44" w:rsidRPr="000A7D44" w:rsidRDefault="000A7D44" w:rsidP="000A7D44">
          <w:pPr>
            <w:pStyle w:val="Verzeichnis1"/>
            <w:rPr>
              <w:rFonts w:eastAsiaTheme="minorEastAsia"/>
              <w:sz w:val="56"/>
              <w:szCs w:val="56"/>
              <w:lang w:eastAsia="de-DE"/>
            </w:rPr>
          </w:pPr>
          <w:r w:rsidRPr="000A7D44">
            <w:rPr>
              <w:rStyle w:val="Hyperlink"/>
              <w:sz w:val="56"/>
              <w:szCs w:val="56"/>
            </w:rPr>
            <w:br/>
          </w:r>
          <w:hyperlink w:anchor="_Toc524603618" w:history="1">
            <w:r w:rsidRPr="000A7D44">
              <w:rPr>
                <w:rStyle w:val="Hyperlink"/>
                <w:sz w:val="56"/>
                <w:szCs w:val="56"/>
              </w:rPr>
              <w:t>Diskursive Einheiten des Briefes</w:t>
            </w:r>
            <w:r w:rsidRPr="000A7D44">
              <w:rPr>
                <w:webHidden/>
                <w:sz w:val="56"/>
                <w:szCs w:val="56"/>
              </w:rPr>
              <w:tab/>
            </w:r>
            <w:r w:rsidR="00290A7D" w:rsidRPr="000A7D44">
              <w:rPr>
                <w:webHidden/>
                <w:sz w:val="56"/>
                <w:szCs w:val="56"/>
              </w:rPr>
              <w:fldChar w:fldCharType="begin"/>
            </w:r>
            <w:r w:rsidRPr="000A7D44">
              <w:rPr>
                <w:webHidden/>
                <w:sz w:val="56"/>
                <w:szCs w:val="56"/>
              </w:rPr>
              <w:instrText xml:space="preserve"> PAGEREF _Toc524603618 \h </w:instrText>
            </w:r>
            <w:r w:rsidR="00290A7D" w:rsidRPr="000A7D44">
              <w:rPr>
                <w:webHidden/>
                <w:sz w:val="56"/>
                <w:szCs w:val="56"/>
              </w:rPr>
            </w:r>
            <w:r w:rsidR="00290A7D" w:rsidRPr="000A7D44">
              <w:rPr>
                <w:webHidden/>
                <w:sz w:val="56"/>
                <w:szCs w:val="56"/>
              </w:rPr>
              <w:fldChar w:fldCharType="separate"/>
            </w:r>
            <w:r w:rsidR="00487BB5">
              <w:rPr>
                <w:webHidden/>
                <w:sz w:val="56"/>
                <w:szCs w:val="56"/>
              </w:rPr>
              <w:t>5</w:t>
            </w:r>
            <w:r w:rsidR="00290A7D" w:rsidRPr="000A7D44">
              <w:rPr>
                <w:webHidden/>
                <w:sz w:val="56"/>
                <w:szCs w:val="56"/>
              </w:rPr>
              <w:fldChar w:fldCharType="end"/>
            </w:r>
          </w:hyperlink>
        </w:p>
        <w:p w:rsidR="000A7D44" w:rsidRPr="000A7D44" w:rsidRDefault="000A7D44" w:rsidP="000A7D44">
          <w:pPr>
            <w:pStyle w:val="Verzeichnis1"/>
            <w:rPr>
              <w:rFonts w:eastAsiaTheme="minorEastAsia"/>
              <w:sz w:val="56"/>
              <w:szCs w:val="56"/>
              <w:lang w:eastAsia="de-DE"/>
            </w:rPr>
          </w:pPr>
          <w:r w:rsidRPr="000A7D44">
            <w:rPr>
              <w:rStyle w:val="Hyperlink"/>
              <w:color w:val="000000" w:themeColor="text1"/>
              <w:sz w:val="56"/>
              <w:szCs w:val="56"/>
              <w:u w:val="none"/>
            </w:rPr>
            <w:br/>
          </w:r>
          <w:hyperlink w:anchor="_Toc524603619" w:history="1">
            <w:r w:rsidRPr="000A7D44">
              <w:rPr>
                <w:rStyle w:val="Hyperlink"/>
                <w:color w:val="000000" w:themeColor="text1"/>
                <w:sz w:val="56"/>
                <w:szCs w:val="56"/>
                <w:u w:val="none"/>
              </w:rPr>
              <w:t>Griechischer Text, Übersetzung und Kommentar</w:t>
            </w:r>
            <w:r w:rsidRPr="000A7D44">
              <w:rPr>
                <w:webHidden/>
                <w:sz w:val="56"/>
                <w:szCs w:val="56"/>
              </w:rPr>
              <w:tab/>
            </w:r>
            <w:r w:rsidR="00290A7D" w:rsidRPr="000A7D44">
              <w:rPr>
                <w:webHidden/>
                <w:sz w:val="56"/>
                <w:szCs w:val="56"/>
              </w:rPr>
              <w:fldChar w:fldCharType="begin"/>
            </w:r>
            <w:r w:rsidRPr="000A7D44">
              <w:rPr>
                <w:webHidden/>
                <w:sz w:val="56"/>
                <w:szCs w:val="56"/>
              </w:rPr>
              <w:instrText xml:space="preserve"> PAGEREF _Toc524603619 \h </w:instrText>
            </w:r>
            <w:r w:rsidR="00290A7D" w:rsidRPr="000A7D44">
              <w:rPr>
                <w:webHidden/>
                <w:sz w:val="56"/>
                <w:szCs w:val="56"/>
              </w:rPr>
            </w:r>
            <w:r w:rsidR="00290A7D" w:rsidRPr="000A7D44">
              <w:rPr>
                <w:webHidden/>
                <w:sz w:val="56"/>
                <w:szCs w:val="56"/>
              </w:rPr>
              <w:fldChar w:fldCharType="separate"/>
            </w:r>
            <w:r w:rsidR="00487BB5">
              <w:rPr>
                <w:webHidden/>
                <w:sz w:val="56"/>
                <w:szCs w:val="56"/>
              </w:rPr>
              <w:t>6</w:t>
            </w:r>
            <w:r w:rsidR="00290A7D" w:rsidRPr="000A7D44">
              <w:rPr>
                <w:webHidden/>
                <w:sz w:val="56"/>
                <w:szCs w:val="56"/>
              </w:rPr>
              <w:fldChar w:fldCharType="end"/>
            </w:r>
          </w:hyperlink>
          <w:r w:rsidRPr="000A7D44">
            <w:rPr>
              <w:rStyle w:val="Hyperlink"/>
              <w:color w:val="000000" w:themeColor="text1"/>
              <w:sz w:val="56"/>
              <w:szCs w:val="56"/>
              <w:u w:val="none"/>
            </w:rPr>
            <w:t>-16</w:t>
          </w:r>
        </w:p>
        <w:p w:rsidR="00DD7BEA" w:rsidRPr="000A7D44" w:rsidRDefault="00290A7D" w:rsidP="00DD7BEA">
          <w:pPr>
            <w:rPr>
              <w:sz w:val="56"/>
              <w:szCs w:val="56"/>
            </w:rPr>
          </w:pPr>
          <w:r w:rsidRPr="000A7D44">
            <w:rPr>
              <w:sz w:val="56"/>
              <w:szCs w:val="56"/>
            </w:rPr>
            <w:fldChar w:fldCharType="end"/>
          </w:r>
        </w:p>
      </w:sdtContent>
    </w:sdt>
    <w:p w:rsidR="00DD7BEA" w:rsidRPr="002F2FAA" w:rsidRDefault="00DD7BEA" w:rsidP="00DD7BEA">
      <w:pPr>
        <w:rPr>
          <w:rFonts w:asciiTheme="majorHAnsi" w:eastAsiaTheme="majorEastAsia" w:hAnsiTheme="majorHAnsi" w:cstheme="majorBidi"/>
          <w:b/>
          <w:bCs/>
          <w:color w:val="365F91" w:themeColor="accent1" w:themeShade="BF"/>
          <w:sz w:val="32"/>
          <w:szCs w:val="32"/>
        </w:rPr>
      </w:pPr>
      <w:r w:rsidRPr="002F2FAA">
        <w:rPr>
          <w:sz w:val="32"/>
          <w:szCs w:val="32"/>
        </w:rPr>
        <w:br w:type="page"/>
      </w:r>
    </w:p>
    <w:p w:rsidR="00DD7BEA" w:rsidRPr="002F2FAA" w:rsidRDefault="00DD7BEA" w:rsidP="00DD7BEA">
      <w:pPr>
        <w:pStyle w:val="berschrift1"/>
      </w:pPr>
      <w:bookmarkStart w:id="3" w:name="_Toc524603618"/>
      <w:r w:rsidRPr="002F2FAA">
        <w:lastRenderedPageBreak/>
        <w:t>Diskursive Einheiten des Briefes</w:t>
      </w:r>
      <w:bookmarkEnd w:id="3"/>
    </w:p>
    <w:p w:rsidR="00673FF9" w:rsidRDefault="000A7D44" w:rsidP="00526C39">
      <w:r>
        <w:br/>
      </w:r>
    </w:p>
    <w:p w:rsidR="00DD7BEA" w:rsidRPr="002F2FAA" w:rsidRDefault="00DD7BEA" w:rsidP="00526C39">
      <w:r w:rsidRPr="002F2FAA">
        <w:t xml:space="preserve">Das Thema des Briefes </w:t>
      </w:r>
      <w:r w:rsidR="00526C39" w:rsidRPr="002F2FAA">
        <w:t>für</w:t>
      </w:r>
      <w:r w:rsidRPr="002F2FAA">
        <w:t xml:space="preserve"> die Ermunterung des Gajus, der trotz des schlechten Beispiels eines D</w:t>
      </w:r>
      <w:r w:rsidRPr="002F2FAA">
        <w:t>i</w:t>
      </w:r>
      <w:r w:rsidRPr="002F2FAA">
        <w:t xml:space="preserve">otrephes, der von Gott gesandte Brüder abweist, in seinem Dienst weiter unbeirrt fortfährt, indem er reisende Brüder, die zu ihnen kommen, aufnimmt und </w:t>
      </w:r>
      <w:r w:rsidR="000000DF" w:rsidRPr="002F2FAA">
        <w:t>unterstützt</w:t>
      </w:r>
      <w:r w:rsidRPr="002F2FAA">
        <w:t>.</w:t>
      </w:r>
    </w:p>
    <w:p w:rsidR="00673FF9" w:rsidRDefault="00673FF9" w:rsidP="00151D45"/>
    <w:p w:rsidR="00DD7BEA" w:rsidRPr="002F2FAA" w:rsidRDefault="00DD7BEA" w:rsidP="00151D45">
      <w:r w:rsidRPr="002F2FAA">
        <w:t>Der Brief glieder</w:t>
      </w:r>
      <w:r w:rsidR="00526C39" w:rsidRPr="002F2FAA">
        <w:t>t</w:t>
      </w:r>
      <w:r w:rsidRPr="002F2FAA">
        <w:t xml:space="preserve"> sich recht einfach in eine Einleitung bzw. eine</w:t>
      </w:r>
      <w:r w:rsidR="00526C39" w:rsidRPr="002F2FAA">
        <w:t>n</w:t>
      </w:r>
      <w:r w:rsidRPr="002F2FAA">
        <w:t xml:space="preserve"> Briefkopf</w:t>
      </w:r>
      <w:r w:rsidR="003A6246" w:rsidRPr="002F2FAA">
        <w:t xml:space="preserve"> (V. 1-4)</w:t>
      </w:r>
      <w:r w:rsidRPr="002F2FAA">
        <w:t>, in dem sich J</w:t>
      </w:r>
      <w:r w:rsidRPr="002F2FAA">
        <w:t>o</w:t>
      </w:r>
      <w:r w:rsidRPr="002F2FAA">
        <w:t>hannes als älterer Bruder vorstellt und einen anderen Bruder,</w:t>
      </w:r>
      <w:r w:rsidR="00526C39" w:rsidRPr="002F2FAA">
        <w:t xml:space="preserve"> den er und andere lieben</w:t>
      </w:r>
      <w:r w:rsidR="00151D45" w:rsidRPr="002F2FAA">
        <w:t>. Dabei</w:t>
      </w:r>
      <w:r w:rsidRPr="002F2FAA">
        <w:t xml:space="preserve"> betet Johannes um allgemeines Wohlbefinden, insbesondere um körperliche Gesundheit, ganz so wie es Gajus in seine</w:t>
      </w:r>
      <w:r w:rsidR="00526C39" w:rsidRPr="002F2FAA">
        <w:t>r</w:t>
      </w:r>
      <w:r w:rsidRPr="002F2FAA">
        <w:t xml:space="preserve"> Seele gut geht.</w:t>
      </w:r>
    </w:p>
    <w:p w:rsidR="00673FF9" w:rsidRDefault="00673FF9" w:rsidP="000000DF"/>
    <w:p w:rsidR="00DD7BEA" w:rsidRPr="002F2FAA" w:rsidRDefault="00DD7BEA" w:rsidP="000000DF">
      <w:r w:rsidRPr="002F2FAA">
        <w:t>Den Hauptteil</w:t>
      </w:r>
      <w:r w:rsidR="003A6246" w:rsidRPr="002F2FAA">
        <w:t xml:space="preserve"> (V. 5-12)</w:t>
      </w:r>
      <w:r w:rsidRPr="002F2FAA">
        <w:t xml:space="preserve"> benutzt Johannes dazu Gajus zum Fortfahren seine Tätigkeiten, nämlich Br</w:t>
      </w:r>
      <w:r w:rsidRPr="002F2FAA">
        <w:t>ü</w:t>
      </w:r>
      <w:r w:rsidRPr="002F2FAA">
        <w:t>der, die zu Besuch kommen aufzunehmen. Ebenfalls nennt Johannes eine Unterstützung für die re</w:t>
      </w:r>
      <w:r w:rsidRPr="002F2FAA">
        <w:t>i</w:t>
      </w:r>
      <w:r w:rsidRPr="002F2FAA">
        <w:t>senden Brüder, zu der er Gajus ermutigt.  Dies trotz des negativen Beispiels von Diotrephes. Um mit dieser problematischen Person zu handeln, würde Johannes die Opposition gegen ihn als Apostel öffentlich ansprechen</w:t>
      </w:r>
      <w:r w:rsidR="000000DF" w:rsidRPr="002F2FAA">
        <w:t>. Dieses negative Beispiel ist nicht von Gajus zu imitieren, sondern Johannes nennt einen bewährten Bruder, Dem</w:t>
      </w:r>
      <w:r w:rsidR="00E36266" w:rsidRPr="002F2FAA">
        <w:t>e</w:t>
      </w:r>
      <w:r w:rsidR="000000DF" w:rsidRPr="002F2FAA">
        <w:t>trius, der als Vorbild dienen kann und aufzunehmen ist.</w:t>
      </w:r>
    </w:p>
    <w:p w:rsidR="00673FF9" w:rsidRDefault="00673FF9" w:rsidP="000000DF"/>
    <w:p w:rsidR="000000DF" w:rsidRPr="002F2FAA" w:rsidRDefault="000000DF" w:rsidP="000000DF">
      <w:r w:rsidRPr="002F2FAA">
        <w:t>Im dritten und letzten Teil beschließt Johannes den Brief</w:t>
      </w:r>
      <w:r w:rsidR="003A6246" w:rsidRPr="002F2FAA">
        <w:t xml:space="preserve"> (V. 13-15)</w:t>
      </w:r>
      <w:r w:rsidRPr="002F2FAA">
        <w:t>, indem er statt mehr zu schre</w:t>
      </w:r>
      <w:r w:rsidRPr="002F2FAA">
        <w:t>i</w:t>
      </w:r>
      <w:r w:rsidRPr="002F2FAA">
        <w:t>ben, direkt mit Gajus sprechen will und Grüße von gemeinsamen Freunden übermittelt.</w:t>
      </w:r>
    </w:p>
    <w:p w:rsidR="00C0757D" w:rsidRDefault="00C0757D">
      <w:pPr>
        <w:rPr>
          <w:rFonts w:asciiTheme="majorHAnsi" w:eastAsiaTheme="majorEastAsia" w:hAnsiTheme="majorHAnsi" w:cstheme="majorBidi"/>
          <w:b/>
          <w:bCs/>
          <w:color w:val="365F91" w:themeColor="accent1" w:themeShade="BF"/>
          <w:sz w:val="28"/>
          <w:szCs w:val="28"/>
        </w:rPr>
      </w:pPr>
      <w:r>
        <w:br w:type="page"/>
      </w:r>
    </w:p>
    <w:p w:rsidR="00DD7BEA" w:rsidRPr="002F2FAA" w:rsidRDefault="00D426DC" w:rsidP="00DD7BEA">
      <w:pPr>
        <w:pStyle w:val="berschrift1"/>
      </w:pPr>
      <w:hyperlink w:anchor="_Toc515740768" w:history="1">
        <w:bookmarkStart w:id="4" w:name="_Toc524603619"/>
        <w:r w:rsidR="00DD7BEA" w:rsidRPr="002F2FAA">
          <w:t>Griechischer Text, Übersetzung und Kommentar</w:t>
        </w:r>
        <w:bookmarkEnd w:id="4"/>
      </w:hyperlink>
      <w:r w:rsidR="00DD7BEA" w:rsidRPr="002F2FAA">
        <w:br/>
      </w:r>
    </w:p>
    <w:p w:rsidR="00DD7BEA" w:rsidRPr="002F2FAA" w:rsidRDefault="00DD7BEA"/>
    <w:tbl>
      <w:tblPr>
        <w:tblStyle w:val="Tabellenraster"/>
        <w:tblW w:w="10632" w:type="dxa"/>
        <w:tblInd w:w="-459" w:type="dxa"/>
        <w:tblLook w:val="04A0" w:firstRow="1" w:lastRow="0" w:firstColumn="1" w:lastColumn="0" w:noHBand="0" w:noVBand="1"/>
      </w:tblPr>
      <w:tblGrid>
        <w:gridCol w:w="1843"/>
        <w:gridCol w:w="2269"/>
        <w:gridCol w:w="6520"/>
      </w:tblGrid>
      <w:tr w:rsidR="00F13DF8" w:rsidRPr="002F2FAA" w:rsidTr="000562DB">
        <w:tc>
          <w:tcPr>
            <w:tcW w:w="1843" w:type="dxa"/>
          </w:tcPr>
          <w:p w:rsidR="00F13DF8" w:rsidRPr="002F2FAA" w:rsidRDefault="001B30B3" w:rsidP="001459F0">
            <w:r w:rsidRPr="002F2FAA">
              <w:t>1.</w:t>
            </w:r>
            <w:r w:rsidR="00FB5EE3" w:rsidRPr="002F2FAA">
              <w:t>1 Ὁ πρεσβύτερος Γαΐῳ τῷ ἀγαπητῷ, ὃν ἐγὼ ἀγαπῶ ἐν ἀληθείᾳ.</w:t>
            </w:r>
          </w:p>
        </w:tc>
        <w:tc>
          <w:tcPr>
            <w:tcW w:w="2269" w:type="dxa"/>
          </w:tcPr>
          <w:p w:rsidR="00F13DF8" w:rsidRPr="002F2FAA" w:rsidRDefault="00FB5EE3" w:rsidP="001459F0">
            <w:r w:rsidRPr="002F2FAA">
              <w:t xml:space="preserve">Der Ältere </w:t>
            </w:r>
            <w:r w:rsidR="00697F6B" w:rsidRPr="002F2FAA">
              <w:t>dem ge</w:t>
            </w:r>
            <w:r w:rsidR="000A53C4" w:rsidRPr="002F2FAA">
              <w:softHyphen/>
            </w:r>
            <w:r w:rsidR="00697F6B" w:rsidRPr="002F2FAA">
              <w:t>liebten Gajus, den ich liebe in Wahrheit.</w:t>
            </w:r>
          </w:p>
        </w:tc>
        <w:tc>
          <w:tcPr>
            <w:tcW w:w="6520" w:type="dxa"/>
          </w:tcPr>
          <w:p w:rsidR="00F13DF8" w:rsidRPr="002F2FAA" w:rsidRDefault="003A6246" w:rsidP="006D2EB6">
            <w:pPr>
              <w:jc w:val="both"/>
            </w:pPr>
            <w:r w:rsidRPr="002F2FAA">
              <w:t xml:space="preserve">Die Einleitung bzw. der Briefkopf umfasst die Verse 1-4, wobei Vers 1 Absender und Empfänger, die Verse 2-3 den Segenswunsch nennen. Vers 4 schließt den ersten Teil ab. </w:t>
            </w:r>
            <w:r w:rsidR="00697F6B" w:rsidRPr="002F2FAA">
              <w:t xml:space="preserve">Der dritte Johannesbrief gestaltet sich der Form nach </w:t>
            </w:r>
            <w:r w:rsidRPr="002F2FAA">
              <w:t xml:space="preserve">also </w:t>
            </w:r>
            <w:r w:rsidR="00697F6B" w:rsidRPr="002F2FAA">
              <w:t>als typisch privates Schreiben. Diese begi</w:t>
            </w:r>
            <w:r w:rsidR="00697F6B" w:rsidRPr="002F2FAA">
              <w:t>n</w:t>
            </w:r>
            <w:r w:rsidR="00697F6B" w:rsidRPr="002F2FAA">
              <w:t>nen, indem sich, w</w:t>
            </w:r>
            <w:r w:rsidR="00526C39" w:rsidRPr="002F2FAA">
              <w:t>ie man es aus den anderen Schrei</w:t>
            </w:r>
            <w:r w:rsidR="00697F6B" w:rsidRPr="002F2FAA">
              <w:t>ben des Neuen Testaments und der damaligen Zeit insgesamt kenn</w:t>
            </w:r>
            <w:r w:rsidRPr="002F2FAA">
              <w:t>t</w:t>
            </w:r>
            <w:r w:rsidR="00697F6B" w:rsidRPr="002F2FAA">
              <w:t xml:space="preserve">, der Absender zuerst nennt. </w:t>
            </w:r>
            <w:r w:rsidR="00FB5EE3" w:rsidRPr="002F2FAA">
              <w:t xml:space="preserve">Der Apostel Johannes bezeichnet sich </w:t>
            </w:r>
            <w:r w:rsidR="00697F6B" w:rsidRPr="002F2FAA">
              <w:t>dabei</w:t>
            </w:r>
            <w:r w:rsidR="00FB5EE3" w:rsidRPr="002F2FAA">
              <w:t xml:space="preserve"> (ebenso wie er dies in seinem zwei</w:t>
            </w:r>
            <w:r w:rsidR="000A53C4" w:rsidRPr="002F2FAA">
              <w:softHyphen/>
            </w:r>
            <w:r w:rsidR="00FB5EE3" w:rsidRPr="002F2FAA">
              <w:t xml:space="preserve">ten Brief tat) als πρεσβύτερος ("der Ältere") und gebraucht damit den Komparativ von πρέσβυς ("alt", "alter Mann"), d.h. jemand, der ein höheres Alter als andere hat. </w:t>
            </w:r>
            <w:r w:rsidR="00697F6B" w:rsidRPr="002F2FAA">
              <w:t>Das Wort πρεσβύτερος ist die Standardübersetzung in der Sep</w:t>
            </w:r>
            <w:r w:rsidR="000A53C4" w:rsidRPr="002F2FAA">
              <w:softHyphen/>
            </w:r>
            <w:r w:rsidR="00697F6B" w:rsidRPr="002F2FAA">
              <w:t xml:space="preserve">tuaginta für die letzte Etappe des Lebens, etwa </w:t>
            </w:r>
            <w:r w:rsidR="00E264F6">
              <w:t>„</w:t>
            </w:r>
            <w:r w:rsidR="00697F6B" w:rsidRPr="002F2FAA">
              <w:t>Greis</w:t>
            </w:r>
            <w:r w:rsidR="00E264F6">
              <w:t>“</w:t>
            </w:r>
            <w:r w:rsidR="00697F6B" w:rsidRPr="002F2FAA">
              <w:t xml:space="preserve">, </w:t>
            </w:r>
            <w:r w:rsidR="00E264F6">
              <w:t>„</w:t>
            </w:r>
            <w:r w:rsidR="00697F6B" w:rsidRPr="002F2FAA">
              <w:t>Alte</w:t>
            </w:r>
            <w:r w:rsidR="00E264F6">
              <w:t>r“</w:t>
            </w:r>
            <w:r w:rsidR="00697F6B" w:rsidRPr="002F2FAA">
              <w:t xml:space="preserve">, </w:t>
            </w:r>
            <w:r w:rsidR="00E264F6">
              <w:t>„</w:t>
            </w:r>
            <w:r w:rsidR="00697F6B" w:rsidRPr="002F2FAA">
              <w:t>der ältere Mensch</w:t>
            </w:r>
            <w:r w:rsidR="00E264F6">
              <w:t>“</w:t>
            </w:r>
            <w:r w:rsidR="00697F6B" w:rsidRPr="002F2FAA">
              <w:t xml:space="preserve"> (</w:t>
            </w:r>
            <w:r w:rsidR="00697F6B" w:rsidRPr="002F2FAA">
              <w:rPr>
                <w:cs/>
              </w:rPr>
              <w:t>‎</w:t>
            </w:r>
            <w:r w:rsidR="00697F6B" w:rsidRPr="002F2FAA">
              <w:rPr>
                <w:rtl/>
              </w:rPr>
              <w:t>זָקֵן</w:t>
            </w:r>
            <w:r w:rsidR="00526C39" w:rsidRPr="002F2FAA">
              <w:t>). Vgl. Genesis 19.</w:t>
            </w:r>
            <w:r w:rsidR="00697F6B" w:rsidRPr="002F2FAA">
              <w:t xml:space="preserve">4 „vom Jüngling bis zum Greis“. Johannes ist also am Ende seines Lebens, als er diesen Brief schreibt. </w:t>
            </w:r>
            <w:r w:rsidR="00FB5EE3" w:rsidRPr="002F2FAA">
              <w:t>Ein Komparativ setzt zwei Vergleichselemente voraus, eines ist älter, eines jünger. Der Superlativ ("der Älteste") würde hingegen πρεσβύτατος lauten. Let</w:t>
            </w:r>
            <w:r w:rsidR="00FB5EE3" w:rsidRPr="002F2FAA">
              <w:t>z</w:t>
            </w:r>
            <w:r w:rsidR="00FB5EE3" w:rsidRPr="002F2FAA">
              <w:t xml:space="preserve">teres findet man in 4Makkabäer 9.11: "ὅθεν τὸν </w:t>
            </w:r>
            <w:r w:rsidR="00FB5EE3" w:rsidRPr="00E264F6">
              <w:rPr>
                <w:u w:val="single"/>
              </w:rPr>
              <w:t>πρεσβύτατον</w:t>
            </w:r>
            <w:r w:rsidR="00FB5EE3" w:rsidRPr="002F2FAA">
              <w:t xml:space="preserve"> αὐτῶν κελευσθέντες παρῆγον οἱ ὑπασπισταὶ καὶ διαρρήξαντες τὸν χιτῶνα διέδησαν τὰς χεῖρας αὐτοῦ καὶ τοὺς βραχίονας ἱμᾶσιν ἑκατέρωθεν". "Darauf schleppten auf seinen Befehl hin die Wachen </w:t>
            </w:r>
            <w:r w:rsidR="00FB5EE3" w:rsidRPr="00E264F6">
              <w:rPr>
                <w:u w:val="single"/>
              </w:rPr>
              <w:t xml:space="preserve">den </w:t>
            </w:r>
            <w:r w:rsidR="00E264F6">
              <w:rPr>
                <w:u w:val="single"/>
              </w:rPr>
              <w:t>Ä</w:t>
            </w:r>
            <w:r w:rsidR="00FB5EE3" w:rsidRPr="00E264F6">
              <w:rPr>
                <w:u w:val="single"/>
              </w:rPr>
              <w:t>ltesten</w:t>
            </w:r>
            <w:r w:rsidR="00FB5EE3" w:rsidRPr="002F2FAA">
              <w:t xml:space="preserve"> von ihnen herbei und banden, nachdem sie ihm das Gewand heru</w:t>
            </w:r>
            <w:r w:rsidR="00FB5EE3" w:rsidRPr="002F2FAA">
              <w:t>n</w:t>
            </w:r>
            <w:r w:rsidR="00FB5EE3" w:rsidRPr="002F2FAA">
              <w:t>tergerissen hatten, seine Hände und Arme auf beiden Seiten mit L</w:t>
            </w:r>
            <w:r w:rsidR="00FB5EE3" w:rsidRPr="002F2FAA">
              <w:t>e</w:t>
            </w:r>
            <w:r w:rsidR="00FB5EE3" w:rsidRPr="002F2FAA">
              <w:t>derriemen fest". Der Superlativ gibt also im Gegensatz dazu an, we</w:t>
            </w:r>
            <w:r w:rsidR="00FB5EE3" w:rsidRPr="002F2FAA">
              <w:t>l</w:t>
            </w:r>
            <w:r w:rsidR="00FB5EE3" w:rsidRPr="002F2FAA">
              <w:t>ches Element bzw. welche Person in einer Gruppe am ältesten ist und es keinen gibt, der älter als dieser wäre. Das zeigt auch ein Beispiel bei Thucydides, der besagt, dass normalerweise der Älteste zuerst heir</w:t>
            </w:r>
            <w:r w:rsidR="00FB5EE3" w:rsidRPr="002F2FAA">
              <w:t>a</w:t>
            </w:r>
            <w:r w:rsidR="00FB5EE3" w:rsidRPr="002F2FAA">
              <w:t xml:space="preserve">tet, das betont er, um zu zeigen, dass ein gewisser Hippias der </w:t>
            </w:r>
            <w:r w:rsidR="00E264F6">
              <w:t>Ä</w:t>
            </w:r>
            <w:r w:rsidR="00FB5EE3" w:rsidRPr="002F2FAA">
              <w:t>lteste der Söhne war und somit herrschte, dies wüsste er, da er allein Kinder hatte und das hat der älteste Nachkomme eher als die jüngeren: "ὅτι δὲ πρεσβύτατος ὢν Ἱππίας ἦρξεν, εἰδὼς [...] εἰκὸς γὰρ ἦν τὸν πρεσβύτατον πρῶτον γῆμαι". "Dass nun Hippias, da er der Älteste war, regierte, weiß ich. [...] Denn es war normal, dass der Älteste z</w:t>
            </w:r>
            <w:r w:rsidR="00FB5EE3" w:rsidRPr="002F2FAA">
              <w:t>u</w:t>
            </w:r>
            <w:r w:rsidR="00FB5EE3" w:rsidRPr="002F2FAA">
              <w:t>erst heiratet". Was das von Johannes hingegen hier gebrauchte Wort πρεσβύτερος ("der Ältere") bedeutet, kann man bei Herodot, Hist</w:t>
            </w:r>
            <w:r w:rsidR="00FB5EE3" w:rsidRPr="002F2FAA">
              <w:t>o</w:t>
            </w:r>
            <w:r w:rsidR="00FB5EE3" w:rsidRPr="002F2FAA">
              <w:t>riae 3.53 illustriert sehen. Dort wird von einem Tyrannen Periander berichtet, der zwei Söhne hatte und den jüngeren Sohn zur Herrschaft berufen will, da der ältere nicht geeignet ist: "ἐπεὶ δὲ τοῦ χρόνου προβαίνοντος ὁ {τε} Περίανδρος παρηβήκεε καὶ συνεγινώσκετο ἑωυτῷ οὐκέτι εἶναι δυνατὸς τὰ πρήγματα ἐπορᾶν τε καὶ διέπειν, πέμψας ἐς τὴν Κέρκυραν ἀπεκάλεε τὸν Λυκόφρονα ἐπὶ τὴν τυραννίδα· ἐν γὰρ δὴ τῷ πρεσβυτέρῳ τῶν παίδων &lt;...&gt; οὐκ ἐνώρα, ἀλλά οἱ κατεφαίνετο εἶναι νωθέστερος". "Da nun die Zeit vorang</w:t>
            </w:r>
            <w:r w:rsidR="00FB5EE3" w:rsidRPr="002F2FAA">
              <w:t>e</w:t>
            </w:r>
            <w:r w:rsidR="00FB5EE3" w:rsidRPr="002F2FAA">
              <w:t>schritten war, kam Periander in das Greisenalter und sah ein, dass er nicht mehr in der Lage ist, die Geschäfte zu führen und auch zu beso</w:t>
            </w:r>
            <w:r w:rsidR="00FB5EE3" w:rsidRPr="002F2FAA">
              <w:t>r</w:t>
            </w:r>
            <w:r w:rsidR="00FB5EE3" w:rsidRPr="002F2FAA">
              <w:t>gen. Nachdem er nach K</w:t>
            </w:r>
            <w:r w:rsidR="00E264F6">
              <w:t>e</w:t>
            </w:r>
            <w:r w:rsidR="00FB5EE3" w:rsidRPr="002F2FAA">
              <w:t>rkyra sandte, ließ er Lykophoron zur Her</w:t>
            </w:r>
            <w:r w:rsidR="00FB5EE3" w:rsidRPr="002F2FAA">
              <w:t>r</w:t>
            </w:r>
            <w:r w:rsidR="00FB5EE3" w:rsidRPr="002F2FAA">
              <w:t>schaft berufen, denn den älteren der Kinder sah er dazu nicht vor, sondern dieser erschien ihm zu dumm". Wie man hieran leicht erke</w:t>
            </w:r>
            <w:r w:rsidR="00FB5EE3" w:rsidRPr="002F2FAA">
              <w:t>n</w:t>
            </w:r>
            <w:r w:rsidR="00FB5EE3" w:rsidRPr="002F2FAA">
              <w:t xml:space="preserve">nen kann, hatte der Herrscher zwei Söhne, den älteren der beiden wollte er nicht als seinen Nachfolger, da er zu unfähig war, daher nahm er den jüngeren. Dabei wird der Vergleich deutlich. Natürlich ist </w:t>
            </w:r>
            <w:r w:rsidR="00FB5EE3" w:rsidRPr="002F2FAA">
              <w:lastRenderedPageBreak/>
              <w:t>auch die Person, die älter als alle anderen ist, der Älteste. Dies ausz</w:t>
            </w:r>
            <w:r w:rsidR="00FB5EE3" w:rsidRPr="002F2FAA">
              <w:t>u</w:t>
            </w:r>
            <w:r w:rsidR="00FB5EE3" w:rsidRPr="002F2FAA">
              <w:t>drücken, geschieht jedoch mittels des Wortes πρεσβύτατος ("der Ä</w:t>
            </w:r>
            <w:r w:rsidR="00FB5EE3" w:rsidRPr="002F2FAA">
              <w:t>l</w:t>
            </w:r>
            <w:r w:rsidR="00FB5EE3" w:rsidRPr="002F2FAA">
              <w:t>teste"). Wie in Briefen üblich</w:t>
            </w:r>
            <w:r w:rsidR="007D6A83" w:rsidRPr="002F2FAA">
              <w:t>,</w:t>
            </w:r>
            <w:r w:rsidR="00FB5EE3" w:rsidRPr="002F2FAA">
              <w:t xml:space="preserve"> gebraucht Johannes einen Nominalsatz (ohne Prädikat) und lässt aus den formalen Gründen eines Briefkopfes ein Verb wie "schreiben" aus und nennt sogleich d</w:t>
            </w:r>
            <w:r w:rsidR="007D6A83" w:rsidRPr="002F2FAA">
              <w:t>en Adressaten Gajus im Dativ. Im Neuen Testament werden einige Personen mit Namen Gajus genannt. Eine Parallele könnte zu Römer 16.23 best</w:t>
            </w:r>
            <w:r w:rsidR="007D6A83" w:rsidRPr="002F2FAA">
              <w:t>e</w:t>
            </w:r>
            <w:r w:rsidR="007D6A83" w:rsidRPr="002F2FAA">
              <w:t xml:space="preserve">hen, als Paulus Grüße an die Christen in Rom von seinem Gastgeber Gajus ausrichten lässt: „Ἀσπάζεται ὑμᾶς Γάϊος ὁ ξένος μου καὶ τῆς ἐκκλησίας ὅλης“. „Es grüßt euch Gajus, mein Gastgeber und der der ganzen Versammlung“. </w:t>
            </w:r>
            <w:r w:rsidR="005004C9" w:rsidRPr="002F2FAA">
              <w:t>Auch Johannes benutzt ξένος in Bezug auf Gajus, da er fremde Brüder aufnimmt und dazu weiter ermuntert wird. Wenn beide Personen identisch sind, hatte Gajus bereits den Apostel Paulus bei sich aufgenommen, sogar die gesamte Versam</w:t>
            </w:r>
            <w:r w:rsidR="005004C9" w:rsidRPr="002F2FAA">
              <w:t>m</w:t>
            </w:r>
            <w:r w:rsidR="005004C9" w:rsidRPr="002F2FAA">
              <w:t xml:space="preserve">lung. </w:t>
            </w:r>
            <w:r w:rsidR="007D6A83" w:rsidRPr="002F2FAA">
              <w:t>Die Angabe ἐν ἀληθείᾳ ("in Wahrheit") kann neben der Deutung, dass die Liebe und die Wahrheit hier zusammengehören, auch bede</w:t>
            </w:r>
            <w:r w:rsidR="007D6A83" w:rsidRPr="002F2FAA">
              <w:t>u</w:t>
            </w:r>
            <w:r w:rsidR="007D6A83" w:rsidRPr="002F2FAA">
              <w:t xml:space="preserve">ten "wirklich, tatsächlich". Vgl. dazu Aesop, der in den Fabulae 293.1.9, die er aus Richter 9 übernommen hat, schreibt: „εἰ </w:t>
            </w:r>
            <w:r w:rsidR="007D6A83" w:rsidRPr="002F2FAA">
              <w:rPr>
                <w:u w:val="single"/>
              </w:rPr>
              <w:t>ἐν ἀληθείᾳ</w:t>
            </w:r>
            <w:r w:rsidR="007D6A83" w:rsidRPr="002F2FAA">
              <w:t xml:space="preserve"> ὑμεῖς χρίετέ με εἰς βασιλέα ἐφ’ ὑμῶν, δεῦτε, ὑπόστητε ἐν τῇ σκέπῃ μου". "Wenn ihr mich </w:t>
            </w:r>
            <w:r w:rsidR="007D6A83" w:rsidRPr="002F2FAA">
              <w:rPr>
                <w:u w:val="single"/>
              </w:rPr>
              <w:t>wirklich</w:t>
            </w:r>
            <w:r w:rsidR="007D6A83" w:rsidRPr="002F2FAA">
              <w:t xml:space="preserve"> zum König über euch salbt: Auf! Dann kommt unter meinen Schutz". Damit besagt der Autor nac</w:t>
            </w:r>
            <w:r w:rsidR="007D6A83" w:rsidRPr="002F2FAA">
              <w:t>h</w:t>
            </w:r>
            <w:r w:rsidR="007D6A83" w:rsidRPr="002F2FAA">
              <w:t>drücklich, dass die Salbung bewusst und gewollt und beabsichtigt, nicht nur dahingesagt</w:t>
            </w:r>
            <w:r w:rsidR="0030045E">
              <w:t xml:space="preserve"> ist</w:t>
            </w:r>
            <w:r w:rsidR="007D6A83" w:rsidRPr="002F2FAA">
              <w:t xml:space="preserve">. Ebenso kann man ἐν ἀληθείᾳ bei Johannes verstehen. Tobit 14.7 besagt: "καὶ χαρήσονται πάντες οἱ ἀγαπῶντες κύριον τὸν θεὸν </w:t>
            </w:r>
            <w:r w:rsidR="007D6A83" w:rsidRPr="002F2FAA">
              <w:rPr>
                <w:u w:val="single"/>
              </w:rPr>
              <w:t>ἐν ἀληθείᾳ</w:t>
            </w:r>
            <w:r w:rsidR="007D6A83" w:rsidRPr="002F2FAA">
              <w:t xml:space="preserve"> καὶ δικαιοσύνῃ ποιοῦντες ἔλεος τοῖς ἀδελφοῖς ἡμῶν". "Und es werden sich freuen alle, die Gott, den Herrn, </w:t>
            </w:r>
            <w:r w:rsidR="007D6A83" w:rsidRPr="002F2FAA">
              <w:rPr>
                <w:u w:val="single"/>
              </w:rPr>
              <w:t>in Wahrheit</w:t>
            </w:r>
            <w:r w:rsidR="007D6A83" w:rsidRPr="002F2FAA">
              <w:t xml:space="preserve"> und Gerechtigkeit lieben (und) unseren Brüdern Barmherzigkeit tun". Damit kommt ebenfalls zum Ausdruck, dass Li</w:t>
            </w:r>
            <w:r w:rsidR="007D6A83" w:rsidRPr="002F2FAA">
              <w:t>e</w:t>
            </w:r>
            <w:r w:rsidR="007D6A83" w:rsidRPr="002F2FAA">
              <w:t>be tatsächlich vorhanden ist, nicht einfach nur behauptet oder gesagt, d.h. nicht echt vorhanden ist. Damit betont ein anderer Autor auch die Wichtigkeit einer Aussage und es ist wohl auch Johannes wichtig, dies Gajus gegenüber zum Ausdruck zu bringen: Testamenta XII Patr</w:t>
            </w:r>
            <w:r w:rsidR="007D6A83" w:rsidRPr="002F2FAA">
              <w:t>i</w:t>
            </w:r>
            <w:r w:rsidR="007D6A83" w:rsidRPr="002F2FAA">
              <w:t xml:space="preserve">archarum, 7.2,1: "Καὶ νῦν, τέκνα μου, ἐγὼ ἀποθνῄσκω, καὶ </w:t>
            </w:r>
            <w:r w:rsidR="007D6A83" w:rsidRPr="002F2FAA">
              <w:rPr>
                <w:u w:val="single"/>
              </w:rPr>
              <w:t>ἐν ἀληθείᾳ</w:t>
            </w:r>
            <w:r w:rsidR="007D6A83" w:rsidRPr="002F2FAA">
              <w:t xml:space="preserve"> λέγω ὑμῖν ὅτι ἐὰν μὴ διαφυλάξητε ἑαυτοὺς ἀπὸ τοῦ πνεύματος τοῦ ψεύδους καὶ τοῦ θυμοῦ καὶ ἀγαπήσητε τὴν ἀλήθειαν καὶ τὴν μακροθυμίαν, ἀπολεῖσθε". "Und nun, meine Kinder, sterbe ich, und </w:t>
            </w:r>
            <w:r w:rsidR="007D6A83" w:rsidRPr="002F2FAA">
              <w:rPr>
                <w:u w:val="single"/>
              </w:rPr>
              <w:t>in Wahrheit</w:t>
            </w:r>
            <w:r w:rsidR="007D6A83" w:rsidRPr="002F2FAA">
              <w:t xml:space="preserve"> sage ich euch, dass, wenn ihr nicht vor dem Geist der Lüge hütet und vor dem Zorn und die Wahrheit und die Großherzigkeit nicht liebt, ihr verloren gehen werdet ". Wie Johannes sagt der Autor somit, dass es in Wahrheit so ist, dass die Liebe vorhanden ist, womit die Echtheit betont wird. Somit empfindet Johannes aufrichtige Liebe auf der Grundlage des gemeinsam als wahr erkannten Wort Gottes. </w:t>
            </w:r>
            <w:r w:rsidR="005004C9" w:rsidRPr="002F2FAA">
              <w:t>Die doppelte Nennung zweier Wörter mit identischem Stamm wie ἀγαπητῷ („geliebt“) und ἀγαπῶ („ich liebe“) kann man als Figura Etymologica beschreiben, womit der Aspekt der Liebe besonders</w:t>
            </w:r>
            <w:r w:rsidR="001B30B3" w:rsidRPr="002F2FAA">
              <w:t xml:space="preserve"> b</w:t>
            </w:r>
            <w:r w:rsidR="001B30B3" w:rsidRPr="002F2FAA">
              <w:t>e</w:t>
            </w:r>
            <w:r w:rsidR="001B30B3" w:rsidRPr="002F2FAA">
              <w:t xml:space="preserve">tont und verstärkt wird, wobei das erste Vorkommen auch allgemein sein kann, d.h. nicht allein auf Johannes bezogen, sondern betont, dass Gajus geliebt wird, dann aber insbesondere von Johannes, der ihn aufgrund des gemeinsamen Glaubens an die Wahrheit, liebt. Vgl. beide Vorkommen in Genesis 22.2 „Λαβὲ τὸν υἱόν σου τὸν </w:t>
            </w:r>
            <w:r w:rsidR="001B30B3" w:rsidRPr="002F2FAA">
              <w:rPr>
                <w:u w:val="single"/>
              </w:rPr>
              <w:t>ἀγαπητόν</w:t>
            </w:r>
            <w:r w:rsidR="001B30B3" w:rsidRPr="002F2FAA">
              <w:t xml:space="preserve">, ὃν </w:t>
            </w:r>
            <w:r w:rsidR="001B30B3" w:rsidRPr="002F2FAA">
              <w:rPr>
                <w:u w:val="single"/>
              </w:rPr>
              <w:t>ἠγάπησας</w:t>
            </w:r>
            <w:r w:rsidR="001B30B3" w:rsidRPr="002F2FAA">
              <w:t>, τὸ</w:t>
            </w:r>
            <w:r w:rsidR="000A53C4" w:rsidRPr="002F2FAA">
              <w:t xml:space="preserve">ν </w:t>
            </w:r>
            <w:r w:rsidR="001B30B3" w:rsidRPr="002F2FAA">
              <w:t xml:space="preserve">Ισαακ“. „Nimm deinen </w:t>
            </w:r>
            <w:r w:rsidR="001B30B3" w:rsidRPr="00E264F6">
              <w:rPr>
                <w:u w:val="single"/>
              </w:rPr>
              <w:t>geliebten</w:t>
            </w:r>
            <w:r w:rsidR="001B30B3" w:rsidRPr="002F2FAA">
              <w:t xml:space="preserve"> Sohn, den du lie</w:t>
            </w:r>
            <w:r w:rsidR="001B30B3" w:rsidRPr="002F2FAA">
              <w:t>b</w:t>
            </w:r>
            <w:r w:rsidR="001B30B3" w:rsidRPr="002F2FAA">
              <w:t>gewonnen hast, den Is</w:t>
            </w:r>
            <w:r w:rsidRPr="002F2FAA">
              <w:t>a</w:t>
            </w:r>
            <w:r w:rsidR="001B30B3" w:rsidRPr="002F2FAA">
              <w:t xml:space="preserve">ak“. </w:t>
            </w:r>
            <w:r w:rsidRPr="002F2FAA">
              <w:t xml:space="preserve"> Die expliziter Nennung von ἐγὼ („ich“) erscheint erklärungsbedürftig: Möglicherweise betont Johannes, dass er als älterer Bruder und Apostel ihn liebt, da andere in der Versam</w:t>
            </w:r>
            <w:r w:rsidRPr="002F2FAA">
              <w:t>m</w:t>
            </w:r>
            <w:r w:rsidRPr="002F2FAA">
              <w:lastRenderedPageBreak/>
              <w:t>lung, namentlich Diotrephes aufgrund ihrer egozentrischen Haltung, in der man sich selbst in den Mittelpunkt stellt und andere degradiert, ihn liebt, da er aufgrund des Festhaltens an der Wahrheit, die nicht mehr uneingeschränkt vorhanden ist, nicht von allen mehr in dem Maß geliebt wird, wie es sein müsste</w:t>
            </w:r>
            <w:r w:rsidR="0087027B">
              <w:t>, zumindest nicht von Diotrephes</w:t>
            </w:r>
            <w:r w:rsidRPr="002F2FAA">
              <w:t xml:space="preserve">. </w:t>
            </w:r>
            <w:r w:rsidR="001B30B3" w:rsidRPr="002F2FAA">
              <w:t>Da der zweite und dritte Johannesbrief praktische Umsetzungen des ersten sind, setzt Johannes das um, was er selbst in 1Johannes 4.7</w:t>
            </w:r>
            <w:r w:rsidR="00D916BE">
              <w:t xml:space="preserve"> geschrieben hatte:</w:t>
            </w:r>
            <w:r w:rsidR="001B30B3" w:rsidRPr="002F2FAA">
              <w:t xml:space="preserve"> „Ἀγαπητοί, </w:t>
            </w:r>
            <w:r w:rsidR="001B30B3" w:rsidRPr="00D916BE">
              <w:rPr>
                <w:u w:val="single"/>
              </w:rPr>
              <w:t>ἀγαπῶμεν</w:t>
            </w:r>
            <w:r w:rsidR="001B30B3" w:rsidRPr="002F2FAA">
              <w:t xml:space="preserve"> ἀλλήλους“. „Geliebte: Lasst uns einander </w:t>
            </w:r>
            <w:r w:rsidR="001B30B3" w:rsidRPr="00D916BE">
              <w:rPr>
                <w:u w:val="single"/>
              </w:rPr>
              <w:t>lieben</w:t>
            </w:r>
            <w:r w:rsidR="001B30B3" w:rsidRPr="002F2FAA">
              <w:t>“. Den Grund nennt Johannes in 1Johannes 4.11</w:t>
            </w:r>
            <w:r w:rsidR="0087027B">
              <w:t>:</w:t>
            </w:r>
            <w:r w:rsidR="001B30B3" w:rsidRPr="002F2FAA">
              <w:t xml:space="preserve"> „Ἀγαπητοί, εἰ οὕτως ὁ θεὸς ἠγάπησεν ἡμᾶς, καὶ ἡμεῖς ὀφείλομεν ἀλλήλους ἀγαπᾶν“. „Geliebte: Wenn Gott uns so geliebt hat, sind auch wir schuldig, einander zu lieben“. Der gemeinsame Glaube führt zur gegenseitigen Liebe, da Gott uns zuerst geliebt und seinen Sohn für uns an das Kreuz gegeben hat.</w:t>
            </w:r>
            <w:r w:rsidR="007F0C02" w:rsidRPr="002F2FAA">
              <w:t xml:space="preserve"> Zusammenfassend kann man also im ersten Vers </w:t>
            </w:r>
            <w:r w:rsidR="006D2EB6">
              <w:t>(Nominalsatz</w:t>
            </w:r>
            <w:r w:rsidR="007F0C02" w:rsidRPr="002F2FAA">
              <w:t>, d.h. ein Prädikat wie „schreiben“, „gr</w:t>
            </w:r>
            <w:r w:rsidR="007F0C02" w:rsidRPr="002F2FAA">
              <w:t>ü</w:t>
            </w:r>
            <w:r w:rsidR="007F0C02" w:rsidRPr="002F2FAA">
              <w:t>ßen“ etc. ist zu substituieren bzw. anzunehmen</w:t>
            </w:r>
            <w:r w:rsidR="006D2EB6">
              <w:t>)</w:t>
            </w:r>
            <w:r w:rsidR="007F0C02" w:rsidRPr="002F2FAA">
              <w:t xml:space="preserve">, den Briefkopf sehen, wobei sich Johannes im Charakter eines älteren Bruders vorstellt, der einem anderen Bruder, der von anderen und auch Johannes geliebt ist und das aufgrund des gemeinsamen Glaubens an die Wahrheit, einen Brief sendet. </w:t>
            </w:r>
          </w:p>
        </w:tc>
      </w:tr>
      <w:tr w:rsidR="00F13DF8" w:rsidRPr="002F2FAA" w:rsidTr="000562DB">
        <w:tc>
          <w:tcPr>
            <w:tcW w:w="1843" w:type="dxa"/>
          </w:tcPr>
          <w:p w:rsidR="00F13DF8" w:rsidRPr="002F2FAA" w:rsidRDefault="001B30B3" w:rsidP="001459F0">
            <w:r w:rsidRPr="002F2FAA">
              <w:lastRenderedPageBreak/>
              <w:t>1</w:t>
            </w:r>
            <w:r w:rsidR="00FB5EE3" w:rsidRPr="002F2FAA">
              <w:t>.2</w:t>
            </w:r>
            <w:r w:rsidRPr="002F2FAA">
              <w:t xml:space="preserve"> Ἀγαπητέ, περὶ πάντων εὔχομαί σε εὐοδοῦσθαι καὶ ὑγιαίνειν, καθὼς εὐοδοῦταί σου ἡ ψυχή.</w:t>
            </w:r>
          </w:p>
        </w:tc>
        <w:tc>
          <w:tcPr>
            <w:tcW w:w="2269" w:type="dxa"/>
          </w:tcPr>
          <w:p w:rsidR="00F13DF8" w:rsidRPr="002F2FAA" w:rsidRDefault="001B30B3" w:rsidP="001459F0">
            <w:r w:rsidRPr="002F2FAA">
              <w:t xml:space="preserve">Geliebter, </w:t>
            </w:r>
            <w:r w:rsidR="007F0C02" w:rsidRPr="002F2FAA">
              <w:t xml:space="preserve">ich bete, dass </w:t>
            </w:r>
            <w:r w:rsidR="004D4CA3" w:rsidRPr="002F2FAA">
              <w:t>du in jeder Hi</w:t>
            </w:r>
            <w:r w:rsidR="004D4CA3" w:rsidRPr="002F2FAA">
              <w:t>n</w:t>
            </w:r>
            <w:r w:rsidR="004D4CA3" w:rsidRPr="002F2FAA">
              <w:t xml:space="preserve">sicht Wohlergehen hast </w:t>
            </w:r>
            <w:r w:rsidR="007F0C02" w:rsidRPr="002F2FAA">
              <w:t xml:space="preserve"> und gesund bist, wie es deiner Seele</w:t>
            </w:r>
            <w:r w:rsidR="007F0C02" w:rsidRPr="002F2FAA">
              <w:rPr>
                <w:i/>
                <w:iCs/>
              </w:rPr>
              <w:t xml:space="preserve"> </w:t>
            </w:r>
            <w:r w:rsidR="004D4CA3" w:rsidRPr="002F2FAA">
              <w:t>wohl geht.</w:t>
            </w:r>
          </w:p>
        </w:tc>
        <w:tc>
          <w:tcPr>
            <w:tcW w:w="6520" w:type="dxa"/>
          </w:tcPr>
          <w:p w:rsidR="00F13DF8" w:rsidRPr="002F2FAA" w:rsidRDefault="001B30B3" w:rsidP="006D2EB6">
            <w:pPr>
              <w:jc w:val="both"/>
            </w:pPr>
            <w:r w:rsidRPr="002F2FAA">
              <w:t>Mit dem Vokativ</w:t>
            </w:r>
            <w:r w:rsidR="000A53C4" w:rsidRPr="002F2FAA">
              <w:t xml:space="preserve"> (d.h. Anredeform)</w:t>
            </w:r>
            <w:r w:rsidRPr="002F2FAA">
              <w:t xml:space="preserve"> Ἀγαπητέ („Geliebter“) spricht Johannes Gajus noch einmal direkt im Charakter eines von Gott und daher auch von Johannes Geliebten an.</w:t>
            </w:r>
            <w:r w:rsidR="00FD2731" w:rsidRPr="002F2FAA">
              <w:t xml:space="preserve"> </w:t>
            </w:r>
            <w:r w:rsidR="007F0C02" w:rsidRPr="002F2FAA">
              <w:t xml:space="preserve">Der folgende Satz besteht aus dem Prädikat εὔχομαί („ich wünsche“ oder „ich bete“). Davon ist ein Objektsatz </w:t>
            </w:r>
            <w:r w:rsidR="004455CF" w:rsidRPr="002F2FAA">
              <w:t>in Form eines AcI</w:t>
            </w:r>
            <w:r w:rsidR="000A53C4" w:rsidRPr="002F2FAA">
              <w:t xml:space="preserve"> (d.h. ein Akkusativ mit Infinitiv als N</w:t>
            </w:r>
            <w:r w:rsidR="000A53C4" w:rsidRPr="002F2FAA">
              <w:t>e</w:t>
            </w:r>
            <w:r w:rsidR="000A53C4" w:rsidRPr="002F2FAA">
              <w:t>bensatz)</w:t>
            </w:r>
            <w:r w:rsidR="004455CF" w:rsidRPr="002F2FAA">
              <w:t xml:space="preserve"> </w:t>
            </w:r>
            <w:r w:rsidR="007F0C02" w:rsidRPr="002F2FAA">
              <w:t>abhängig</w:t>
            </w:r>
            <w:r w:rsidR="004455CF" w:rsidRPr="002F2FAA">
              <w:t xml:space="preserve"> (die Infinitive εὐοδοῦσθαι („Wohlergehen haben“) und ὑγιαίνειν („gesund sein“) sind also das zweiteilige Prädikat, der Akkusativ σε das Subjekt des AcI, also „du“). </w:t>
            </w:r>
            <w:r w:rsidR="00A24B0F" w:rsidRPr="002F2FAA">
              <w:t>Die Konjunktion καὶ („und“) dazwischen spezifiziert dabei im Sinne von „in</w:t>
            </w:r>
            <w:r w:rsidR="003A6246" w:rsidRPr="002F2FAA">
              <w:t>s</w:t>
            </w:r>
            <w:r w:rsidR="00A24B0F" w:rsidRPr="002F2FAA">
              <w:t>besondere“, womit alle Lebensbereiche angesprochen sind, insbesondere der G</w:t>
            </w:r>
            <w:r w:rsidR="00A24B0F" w:rsidRPr="002F2FAA">
              <w:t>e</w:t>
            </w:r>
            <w:r w:rsidR="00A24B0F" w:rsidRPr="002F2FAA">
              <w:t>sundheitsaspekt. Johannes geht vom Allgemeinen zum Besonderen</w:t>
            </w:r>
            <w:r w:rsidR="00003F37" w:rsidRPr="002F2FAA">
              <w:t xml:space="preserve"> (deduktiv)</w:t>
            </w:r>
            <w:r w:rsidR="00A24B0F" w:rsidRPr="002F2FAA">
              <w:t xml:space="preserve"> und greift den Aspekt, der offenbar ein Problem ist, heraus. </w:t>
            </w:r>
            <w:r w:rsidR="004455CF" w:rsidRPr="002F2FAA">
              <w:t>Der Objektsatz bzw. der AcI zeigt also an</w:t>
            </w:r>
            <w:r w:rsidR="007F0C02" w:rsidRPr="002F2FAA">
              <w:t xml:space="preserve">, was Johannes wünscht oder betet. </w:t>
            </w:r>
            <w:r w:rsidR="004D4CA3" w:rsidRPr="002F2FAA">
              <w:t>Der Wunsch oder das Gebet erstreckt sich auf alle Bereiche, auch auf die Gesundheit. In einem Nebensatz wird das vorhandene Wohlergehen der Seele des Gajus als Ausgangspunkt genommen. Genau so, wie es seiner Seele gut geht, möge es den anderen Bere</w:t>
            </w:r>
            <w:r w:rsidR="004D4CA3" w:rsidRPr="002F2FAA">
              <w:t>i</w:t>
            </w:r>
            <w:r w:rsidR="004D4CA3" w:rsidRPr="002F2FAA">
              <w:t xml:space="preserve">chen seines Lebens gut gehen, insbesondere seiner Gesundheit. </w:t>
            </w:r>
            <w:r w:rsidR="004455CF" w:rsidRPr="002F2FAA">
              <w:t>Das Verb εὐοδοῦσθαι („Wohlergehen haben“) lässt sich auf εὔοδος z</w:t>
            </w:r>
            <w:r w:rsidR="004455CF" w:rsidRPr="002F2FAA">
              <w:t>u</w:t>
            </w:r>
            <w:r w:rsidR="004455CF" w:rsidRPr="002F2FAA">
              <w:t xml:space="preserve">rückführen, das „guter Weg“ und übertragen „frei von Beschwerden, Schwierigkeiten etc.“ bedeutet. </w:t>
            </w:r>
            <w:r w:rsidR="004D4CA3" w:rsidRPr="002F2FAA">
              <w:t>Das Verb ὑγιαίνειν („gesund sein“)  ist etymologisch mit ὑγιής „(gesund“) verbunden. Da Johannes dieses Anliegen in einen Wunsch einbaut, ist es möglich, dass es Gajus nicht in allen Belangen gut geht, sonst wäre ein Dank angemessener, und er wohl mit der Gesundheit zu tun hat.  Aber das Wohlbefinden der Se</w:t>
            </w:r>
            <w:r w:rsidR="004D4CA3" w:rsidRPr="002F2FAA">
              <w:t>e</w:t>
            </w:r>
            <w:r w:rsidR="004D4CA3" w:rsidRPr="002F2FAA">
              <w:t xml:space="preserve">le soll genauso alle Bereiche und auch die körperliche Seite umfassen. </w:t>
            </w:r>
            <w:r w:rsidR="007F0C02" w:rsidRPr="002F2FAA">
              <w:t>Vor dem Prädikat steht ein</w:t>
            </w:r>
            <w:r w:rsidR="004D4CA3" w:rsidRPr="002F2FAA">
              <w:t>e</w:t>
            </w:r>
            <w:r w:rsidR="007F0C02" w:rsidRPr="002F2FAA">
              <w:t xml:space="preserve"> Angabe in Form eine</w:t>
            </w:r>
            <w:r w:rsidR="004D4CA3" w:rsidRPr="002F2FAA">
              <w:t>r</w:t>
            </w:r>
            <w:r w:rsidR="007F0C02" w:rsidRPr="002F2FAA">
              <w:t xml:space="preserve"> Präpositionalphr</w:t>
            </w:r>
            <w:r w:rsidR="007F0C02" w:rsidRPr="002F2FAA">
              <w:t>a</w:t>
            </w:r>
            <w:r w:rsidR="007F0C02" w:rsidRPr="002F2FAA">
              <w:t xml:space="preserve">se περὶ πάντων. Zur seltenen Kombination von „περὶ πάντων“ </w:t>
            </w:r>
            <w:r w:rsidR="00725611" w:rsidRPr="002F2FAA">
              <w:t xml:space="preserve">(„in Bezug auf alles“ bzw. „in jeder Hinsicht“) </w:t>
            </w:r>
            <w:r w:rsidR="007F0C02" w:rsidRPr="002F2FAA">
              <w:t>und „εὔχομαί“ („ich wü</w:t>
            </w:r>
            <w:r w:rsidR="007F0C02" w:rsidRPr="002F2FAA">
              <w:t>n</w:t>
            </w:r>
            <w:r w:rsidR="007F0C02" w:rsidRPr="002F2FAA">
              <w:t xml:space="preserve">sche“ oder „ich bete“) vgl. </w:t>
            </w:r>
            <w:hyperlink r:id="rId11" w:anchor="doc=tlg&amp;aid=0008&amp;q=ATHENAEUS&amp;dt=list&amp;st=author_text&amp;per=50" w:history="1">
              <w:r w:rsidR="00FD2731" w:rsidRPr="002F2FAA">
                <w:t>Athenaeus</w:t>
              </w:r>
            </w:hyperlink>
            <w:r w:rsidR="00FD2731" w:rsidRPr="002F2FAA">
              <w:t xml:space="preserve">, </w:t>
            </w:r>
            <w:hyperlink r:id="rId12" w:anchor="doc=tlg&amp;aid=0008&amp;wid=001&amp;q=ATHENAEUS&amp;dt=list&amp;st=all&amp;per=50" w:tooltip="G. Kaibel, Athenaei Naucratitae deipnosophistarum libri xv, 3 vols., Leipzig: Teubner, 1-2:1887; 3:1890 (repr. 1-2:1965; 3:1966): 1:1-491; 2:1-498; 3:1-560." w:history="1">
              <w:r w:rsidR="00FD2731" w:rsidRPr="002F2FAA">
                <w:t>Deipnosophistae</w:t>
              </w:r>
            </w:hyperlink>
            <w:r w:rsidR="00FD2731" w:rsidRPr="002F2FAA">
              <w:t xml:space="preserve"> 8.12,19</w:t>
            </w:r>
            <w:r w:rsidR="00725611" w:rsidRPr="002F2FAA">
              <w:t>. Dort wird mit „in Bezug auf alles“ oder „um alles“ das Prädikat</w:t>
            </w:r>
            <w:r w:rsidR="004D4CA3" w:rsidRPr="002F2FAA">
              <w:t xml:space="preserve"> „beten“ modifiziert</w:t>
            </w:r>
            <w:r w:rsidR="00725611" w:rsidRPr="002F2FAA">
              <w:t>. Au</w:t>
            </w:r>
            <w:r w:rsidR="004D4CA3" w:rsidRPr="002F2FAA">
              <w:t>f den Vers angewandt</w:t>
            </w:r>
            <w:r w:rsidR="00725611" w:rsidRPr="002F2FAA">
              <w:t>, würde dies bedeuten</w:t>
            </w:r>
            <w:r w:rsidR="004D4CA3" w:rsidRPr="002F2FAA">
              <w:t>: „Ich bete um alle Dinge, nämlich dass</w:t>
            </w:r>
            <w:r w:rsidR="00725611" w:rsidRPr="002F2FAA">
              <w:t xml:space="preserve"> du</w:t>
            </w:r>
            <w:r w:rsidR="004D4CA3" w:rsidRPr="002F2FAA">
              <w:t>…..“</w:t>
            </w:r>
            <w:r w:rsidR="00FD2731" w:rsidRPr="002F2FAA">
              <w:t xml:space="preserve">: „ταύτῃ οὖν ὅταν θύωσιν αἱ Δηλιάδες, προσφέρουσιν αὐτῇ σκάφας πάντων πλήρεις ἀγαθῶν πλὴν </w:t>
            </w:r>
            <w:r w:rsidR="00FD2731" w:rsidRPr="002F2FAA">
              <w:lastRenderedPageBreak/>
              <w:t xml:space="preserve">ἰχθύων </w:t>
            </w:r>
            <w:r w:rsidR="00FD2731" w:rsidRPr="002F2FAA">
              <w:rPr>
                <w:u w:val="single"/>
              </w:rPr>
              <w:t>διὰ τὸ εὔχεσθαι ταύτῃ περί τε πάντων</w:t>
            </w:r>
            <w:r w:rsidR="00FD2731" w:rsidRPr="002F2FAA">
              <w:t xml:space="preserve"> καὶ ὑπὲρ τῆς τῶν πλοίων σωτηρίας. „Wenn die Frauen von Delos dieser (Anm.: Got</w:t>
            </w:r>
            <w:r w:rsidR="00FD2731" w:rsidRPr="002F2FAA">
              <w:t>t</w:t>
            </w:r>
            <w:r w:rsidR="00FD2731" w:rsidRPr="002F2FAA">
              <w:t>heit) nun opfern, bringen sie ihr kleine Boote voll von allen guten Di</w:t>
            </w:r>
            <w:r w:rsidR="00FD2731" w:rsidRPr="002F2FAA">
              <w:t>n</w:t>
            </w:r>
            <w:r w:rsidR="00FD2731" w:rsidRPr="002F2FAA">
              <w:t xml:space="preserve">gen dar, außer von Fischen, </w:t>
            </w:r>
            <w:r w:rsidR="00FD2731" w:rsidRPr="002F2FAA">
              <w:rPr>
                <w:u w:val="single"/>
              </w:rPr>
              <w:t xml:space="preserve">weil sie diese </w:t>
            </w:r>
            <w:r w:rsidR="004D4CA3" w:rsidRPr="002F2FAA">
              <w:rPr>
                <w:u w:val="single"/>
              </w:rPr>
              <w:t>um</w:t>
            </w:r>
            <w:r w:rsidR="00FD2731" w:rsidRPr="002F2FAA">
              <w:rPr>
                <w:u w:val="single"/>
              </w:rPr>
              <w:t xml:space="preserve"> alles auch </w:t>
            </w:r>
            <w:r w:rsidR="004D4CA3" w:rsidRPr="002F2FAA">
              <w:rPr>
                <w:u w:val="single"/>
              </w:rPr>
              <w:t>beten</w:t>
            </w:r>
            <w:r w:rsidR="00FD2731" w:rsidRPr="002F2FAA">
              <w:t>, insb</w:t>
            </w:r>
            <w:r w:rsidR="00FD2731" w:rsidRPr="002F2FAA">
              <w:t>e</w:t>
            </w:r>
            <w:r w:rsidR="00FD2731" w:rsidRPr="002F2FAA">
              <w:t>sondere wegen der  Sicherheit ihrer Schiffe“.</w:t>
            </w:r>
          </w:p>
        </w:tc>
      </w:tr>
      <w:tr w:rsidR="00F13DF8" w:rsidRPr="002F2FAA" w:rsidTr="000562DB">
        <w:tc>
          <w:tcPr>
            <w:tcW w:w="1843" w:type="dxa"/>
          </w:tcPr>
          <w:p w:rsidR="00F13DF8" w:rsidRPr="002F2FAA" w:rsidRDefault="001B30B3" w:rsidP="001459F0">
            <w:r w:rsidRPr="002F2FAA">
              <w:lastRenderedPageBreak/>
              <w:t>1</w:t>
            </w:r>
            <w:r w:rsidR="00FB5EE3" w:rsidRPr="002F2FAA">
              <w:t>.3</w:t>
            </w:r>
            <w:r w:rsidR="0054518D" w:rsidRPr="002F2FAA">
              <w:t xml:space="preserve"> Ἐχάρην γὰρ λίαν, ἐρχομένων ἀδελφῶν καὶ μαρτυρούντων σου τῇ ἀληθείᾳ, καθὼς σὺ ἐν ἀληθείᾳ περιπατεῖς.</w:t>
            </w:r>
          </w:p>
        </w:tc>
        <w:tc>
          <w:tcPr>
            <w:tcW w:w="2269" w:type="dxa"/>
          </w:tcPr>
          <w:p w:rsidR="00F13DF8" w:rsidRPr="002F2FAA" w:rsidRDefault="0054518D" w:rsidP="001459F0">
            <w:r w:rsidRPr="002F2FAA">
              <w:t>Denn ich freute mich sehr, als Brüder k</w:t>
            </w:r>
            <w:r w:rsidRPr="002F2FAA">
              <w:t>a</w:t>
            </w:r>
            <w:r w:rsidRPr="002F2FAA">
              <w:t>men und deine Wah</w:t>
            </w:r>
            <w:r w:rsidRPr="002F2FAA">
              <w:t>r</w:t>
            </w:r>
            <w:r w:rsidRPr="002F2FAA">
              <w:t xml:space="preserve">haftigkeit bezeugten, wie </w:t>
            </w:r>
            <w:r w:rsidRPr="002F2FAA">
              <w:rPr>
                <w:i/>
                <w:iCs/>
              </w:rPr>
              <w:t>du</w:t>
            </w:r>
            <w:r w:rsidRPr="002F2FAA">
              <w:t xml:space="preserve"> in Wahrheit wandelst.</w:t>
            </w:r>
          </w:p>
        </w:tc>
        <w:tc>
          <w:tcPr>
            <w:tcW w:w="6520" w:type="dxa"/>
          </w:tcPr>
          <w:p w:rsidR="00F13DF8" w:rsidRPr="002F2FAA" w:rsidRDefault="006D2EB6" w:rsidP="006D2EB6">
            <w:pPr>
              <w:jc w:val="both"/>
            </w:pPr>
            <w:r>
              <w:t xml:space="preserve">Wie ist der </w:t>
            </w:r>
            <w:r w:rsidR="00003F37" w:rsidRPr="002F2FAA">
              <w:t>Zusammenhang zum Vers davor</w:t>
            </w:r>
            <w:r>
              <w:t xml:space="preserve"> denkbar</w:t>
            </w:r>
            <w:r w:rsidR="00003F37" w:rsidRPr="002F2FAA">
              <w:t>: G</w:t>
            </w:r>
            <w:r w:rsidR="0054518D" w:rsidRPr="002F2FAA">
              <w:t>ibt die Ko</w:t>
            </w:r>
            <w:r w:rsidR="0054518D" w:rsidRPr="002F2FAA">
              <w:t>n</w:t>
            </w:r>
            <w:r w:rsidR="0054518D" w:rsidRPr="002F2FAA">
              <w:t xml:space="preserve">junktion γὰρ („denn“) den Grund an, wieso Johannes </w:t>
            </w:r>
            <w:r w:rsidR="00003F37" w:rsidRPr="002F2FAA">
              <w:t xml:space="preserve">es </w:t>
            </w:r>
            <w:r w:rsidR="0054518D" w:rsidRPr="002F2FAA">
              <w:t xml:space="preserve">wusste, dass Gajus </w:t>
            </w:r>
            <w:r w:rsidR="00003F37" w:rsidRPr="002F2FAA">
              <w:t xml:space="preserve">ein gutes </w:t>
            </w:r>
            <w:r w:rsidR="0054518D" w:rsidRPr="002F2FAA">
              <w:t>seelisches Wohlbefinden habe</w:t>
            </w:r>
            <w:r w:rsidR="00003F37" w:rsidRPr="002F2FAA">
              <w:t>? Das würde bedeuten,</w:t>
            </w:r>
            <w:r w:rsidR="0054518D" w:rsidRPr="002F2FAA">
              <w:t xml:space="preserve"> Brüder </w:t>
            </w:r>
            <w:r w:rsidR="00003F37" w:rsidRPr="002F2FAA">
              <w:t>wären gekommen</w:t>
            </w:r>
            <w:r w:rsidR="0054518D" w:rsidRPr="002F2FAA">
              <w:t xml:space="preserve"> und </w:t>
            </w:r>
            <w:r w:rsidR="00003F37" w:rsidRPr="002F2FAA">
              <w:t xml:space="preserve">hätten </w:t>
            </w:r>
            <w:r w:rsidR="0054518D" w:rsidRPr="002F2FAA">
              <w:t>es ihm neben den anderen Di</w:t>
            </w:r>
            <w:r w:rsidR="0054518D" w:rsidRPr="002F2FAA">
              <w:t>n</w:t>
            </w:r>
            <w:r w:rsidR="0054518D" w:rsidRPr="002F2FAA">
              <w:t>gen berichtet</w:t>
            </w:r>
            <w:r w:rsidR="00003F37" w:rsidRPr="002F2FAA">
              <w:t>.</w:t>
            </w:r>
            <w:r w:rsidR="0054518D" w:rsidRPr="002F2FAA">
              <w:t xml:space="preserve"> Dies scheint nicht plausibel, denn der Nebensatz </w:t>
            </w:r>
            <w:r w:rsidR="00C17F1B" w:rsidRPr="002F2FAA">
              <w:t>(Gen</w:t>
            </w:r>
            <w:r w:rsidR="00C17F1B" w:rsidRPr="002F2FAA">
              <w:t>i</w:t>
            </w:r>
            <w:r w:rsidR="00C17F1B" w:rsidRPr="002F2FAA">
              <w:t xml:space="preserve">tivus absolutus, d.h. der Genitiv gibt das Subjekt an) </w:t>
            </w:r>
            <w:r w:rsidR="0054518D" w:rsidRPr="002F2FAA">
              <w:t>ab ἐρχομένων („sie kamen“) bezieht sich in temporal oder kausaler Relation auf die Freude des Johannes im Hauptsatz. Und die Freude ist keine Begrü</w:t>
            </w:r>
            <w:r w:rsidR="0054518D" w:rsidRPr="002F2FAA">
              <w:t>n</w:t>
            </w:r>
            <w:r w:rsidR="0054518D" w:rsidRPr="002F2FAA">
              <w:t>dung, dass es der Seele des Gajus gut geht, eher die Folge oder Ko</w:t>
            </w:r>
            <w:r w:rsidR="0054518D" w:rsidRPr="002F2FAA">
              <w:t>n</w:t>
            </w:r>
            <w:r w:rsidR="0054518D" w:rsidRPr="002F2FAA">
              <w:t xml:space="preserve">sequenz. Plausibler wäre es, die Konjunktion γὰρ („denn“) darauf zu beziehen, warum Johannes gebetet hat, nämlich aus Freunde über den </w:t>
            </w:r>
            <w:r w:rsidR="00E668CA" w:rsidRPr="002F2FAA">
              <w:t xml:space="preserve">positiven </w:t>
            </w:r>
            <w:r w:rsidR="0054518D" w:rsidRPr="002F2FAA">
              <w:t>Bericht der Brüder</w:t>
            </w:r>
            <w:r w:rsidR="00E668CA" w:rsidRPr="002F2FAA">
              <w:t>, die von Gajus kamen und dies J</w:t>
            </w:r>
            <w:r w:rsidR="00E668CA" w:rsidRPr="002F2FAA">
              <w:t>o</w:t>
            </w:r>
            <w:r w:rsidR="00E668CA" w:rsidRPr="002F2FAA">
              <w:t>hannes berichteten</w:t>
            </w:r>
            <w:r w:rsidR="0054518D" w:rsidRPr="002F2FAA">
              <w:t>.</w:t>
            </w:r>
            <w:r w:rsidR="00E668CA" w:rsidRPr="002F2FAA">
              <w:t xml:space="preserve"> Ἐχάρην</w:t>
            </w:r>
            <w:r w:rsidR="0054518D" w:rsidRPr="002F2FAA">
              <w:t xml:space="preserve"> </w:t>
            </w:r>
            <w:r w:rsidR="00E668CA" w:rsidRPr="002F2FAA">
              <w:t xml:space="preserve"> („ich freute mich“) wird von zwei Partiz</w:t>
            </w:r>
            <w:r w:rsidR="00E668CA" w:rsidRPr="002F2FAA">
              <w:t>i</w:t>
            </w:r>
            <w:r w:rsidR="00E668CA" w:rsidRPr="002F2FAA">
              <w:t>pien im Präsens modifiziert, womit Gleichzeitigkeit ausgedrückt wird, d.h. während des Kommens der Brüder und ihrem Bericht gelangte Johannes aufgrund der positiven Inhalte, nämlich, wie Gajus in der Wahrheit wandelte, zu großer Freude.</w:t>
            </w:r>
            <w:r w:rsidR="002C282A" w:rsidRPr="002F2FAA">
              <w:t xml:space="preserve"> Die Phrase σου τῇ ἀληθείᾳ („deine Wahrhaftigkeit“) zeigt, dass ἀληθείᾳ als Eigenschaft von Pe</w:t>
            </w:r>
            <w:r w:rsidR="002C282A" w:rsidRPr="002F2FAA">
              <w:t>r</w:t>
            </w:r>
            <w:r w:rsidR="002C282A" w:rsidRPr="002F2FAA">
              <w:t>sonen nicht „Wahrheit“, sondern „Treue“ bzw. „Wahrhaftigkeit“ bzw. „Aufrichtigkeit“ bedeutet und es nicht nötig ist</w:t>
            </w:r>
            <w:r>
              <w:t>,</w:t>
            </w:r>
            <w:r w:rsidR="002C282A" w:rsidRPr="002F2FAA">
              <w:t xml:space="preserve"> in dem Satz Ergänzu</w:t>
            </w:r>
            <w:r w:rsidR="002C282A" w:rsidRPr="002F2FAA">
              <w:t>n</w:t>
            </w:r>
            <w:r w:rsidR="002C282A" w:rsidRPr="002F2FAA">
              <w:t>gen vorzunehmen, zumal Johannes den Begriff im letzten Satz ja p</w:t>
            </w:r>
            <w:r w:rsidR="002C282A" w:rsidRPr="002F2FAA">
              <w:t>a</w:t>
            </w:r>
            <w:r w:rsidR="002C282A" w:rsidRPr="002F2FAA">
              <w:t>raphrasiert</w:t>
            </w:r>
            <w:r w:rsidR="0087027B">
              <w:t>.</w:t>
            </w:r>
            <w:r w:rsidR="002C282A" w:rsidRPr="002F2FAA">
              <w:t xml:space="preserve"> „Wahrhaftigkeit“ aufzuweisen bedeutet also „in Wahrheit wandeln“. Vgl.</w:t>
            </w:r>
            <w:r w:rsidR="00E668CA" w:rsidRPr="002F2FAA">
              <w:t xml:space="preserve">  </w:t>
            </w:r>
            <w:r w:rsidR="002C282A" w:rsidRPr="002F2FAA">
              <w:t xml:space="preserve">1Könige 3.6 „καὶ εἶπεν Σαλωμων σὺ ἐποίησας μετὰ τοῦ δούλου σου Δαυιδ τοῦ πατρός μου ἔλεος μέγα καθὼς διῆλθεν ἐνώπιόν σου </w:t>
            </w:r>
            <w:r w:rsidR="002C282A" w:rsidRPr="0087027B">
              <w:rPr>
                <w:u w:val="single"/>
              </w:rPr>
              <w:t>ἐν ἀληθείᾳ</w:t>
            </w:r>
            <w:r w:rsidR="002C282A" w:rsidRPr="002F2FAA">
              <w:t xml:space="preserve"> καὶ ἐν δικαιοσύνῃ καὶ ἐν εὐθύτητι καρδίας μετὰ σοῦ“.  „Und Salomon sagte: Du hast mit deinem Diener David, meinem Vater, großes Erbarmen gehabt, weil er vor dir </w:t>
            </w:r>
            <w:r w:rsidR="002C282A" w:rsidRPr="0087027B">
              <w:rPr>
                <w:u w:val="single"/>
              </w:rPr>
              <w:t>in Wahrha</w:t>
            </w:r>
            <w:r w:rsidR="002C282A" w:rsidRPr="0087027B">
              <w:rPr>
                <w:u w:val="single"/>
              </w:rPr>
              <w:t>f</w:t>
            </w:r>
            <w:r w:rsidR="002C282A" w:rsidRPr="0087027B">
              <w:rPr>
                <w:u w:val="single"/>
              </w:rPr>
              <w:t>tigkeit</w:t>
            </w:r>
            <w:r w:rsidR="002C282A" w:rsidRPr="002F2FAA">
              <w:t xml:space="preserve"> und in Gerechtigkeit und in Rechtschaffenheit des Herzens </w:t>
            </w:r>
            <w:r w:rsidR="0087027B">
              <w:t>mit dir</w:t>
            </w:r>
            <w:r w:rsidR="002C282A" w:rsidRPr="002F2FAA">
              <w:t xml:space="preserve"> gewandelt ist“. Micha 7.20 „δώσεις </w:t>
            </w:r>
            <w:r w:rsidR="002C282A" w:rsidRPr="0087027B">
              <w:rPr>
                <w:u w:val="single"/>
              </w:rPr>
              <w:t>ἀλήθειαν</w:t>
            </w:r>
            <w:r w:rsidR="002C282A" w:rsidRPr="002F2FAA">
              <w:t xml:space="preserve"> τῷ Ιακωβ“</w:t>
            </w:r>
            <w:r w:rsidR="0087027B">
              <w:t>.</w:t>
            </w:r>
            <w:r w:rsidR="002C282A" w:rsidRPr="002F2FAA">
              <w:t xml:space="preserve"> „Du wirst Jakob </w:t>
            </w:r>
            <w:r w:rsidR="002C282A" w:rsidRPr="0087027B">
              <w:rPr>
                <w:u w:val="single"/>
              </w:rPr>
              <w:t>Treue</w:t>
            </w:r>
            <w:r w:rsidR="002C282A" w:rsidRPr="002F2FAA">
              <w:t xml:space="preserve"> erweisen“. Auch außerbiblisch ist dies belegt</w:t>
            </w:r>
            <w:r w:rsidR="00B91971" w:rsidRPr="002F2FAA">
              <w:t>: Vgl.</w:t>
            </w:r>
            <w:r w:rsidR="002C282A" w:rsidRPr="002F2FAA">
              <w:t xml:space="preserve"> </w:t>
            </w:r>
            <w:hyperlink r:id="rId13" w:anchor="doc=tlg&amp;aid=0085&amp;q=AESCHYLUS&amp;dt=list&amp;st=author_text&amp;per=50" w:history="1">
              <w:r w:rsidR="00C74D4E" w:rsidRPr="002F2FAA">
                <w:t>Aeschylus</w:t>
              </w:r>
            </w:hyperlink>
            <w:r w:rsidR="00C74D4E" w:rsidRPr="002F2FAA">
              <w:t xml:space="preserve">, </w:t>
            </w:r>
            <w:hyperlink r:id="rId14" w:anchor="doc=tlg&amp;aid=0085&amp;wid=015&amp;q=AESCHYLUS&amp;dt=list&amp;st=all&amp;per=50" w:tooltip="D.L. Page, Aeschyli Septem Quae Supersunt Tragoedias, Oxford: Clarendon Press, 1972: 139-198." w:history="1">
              <w:r w:rsidR="00C74D4E" w:rsidRPr="002F2FAA">
                <w:t>Agamemnon</w:t>
              </w:r>
            </w:hyperlink>
            <w:r w:rsidR="00C74D4E" w:rsidRPr="002F2FAA">
              <w:t xml:space="preserve"> 1550</w:t>
            </w:r>
            <w:r w:rsidR="00B91971" w:rsidRPr="002F2FAA">
              <w:t>:</w:t>
            </w:r>
            <w:r w:rsidR="00C74D4E" w:rsidRPr="002F2FAA">
              <w:t xml:space="preserve"> </w:t>
            </w:r>
            <w:r w:rsidR="002C282A" w:rsidRPr="002F2FAA">
              <w:t>„τίς δ’ ἐπιτύμβιον αἶνον ἐπ’ ἀνδρὶ θείωι</w:t>
            </w:r>
            <w:r w:rsidR="00C74D4E" w:rsidRPr="002F2FAA">
              <w:t xml:space="preserve"> </w:t>
            </w:r>
            <w:r w:rsidR="002C282A" w:rsidRPr="002F2FAA">
              <w:t>σὺν δακρύοις ἰάπτων</w:t>
            </w:r>
            <w:r w:rsidR="00C74D4E" w:rsidRPr="002F2FAA">
              <w:t xml:space="preserve"> </w:t>
            </w:r>
            <w:r w:rsidR="002C282A" w:rsidRPr="0087027B">
              <w:rPr>
                <w:u w:val="single"/>
              </w:rPr>
              <w:t>ἀληθείαι</w:t>
            </w:r>
            <w:r w:rsidR="002C282A" w:rsidRPr="002F2FAA">
              <w:t xml:space="preserve"> φρενῶν πονήσει;  „Und wer, </w:t>
            </w:r>
            <w:r w:rsidR="00C74D4E" w:rsidRPr="002F2FAA">
              <w:t xml:space="preserve">hält zu Tränen gerührt eine lobende Trauerrede über den göttlichen Mann mit </w:t>
            </w:r>
            <w:r w:rsidR="00C74D4E" w:rsidRPr="0087027B">
              <w:rPr>
                <w:u w:val="single"/>
              </w:rPr>
              <w:t>Wahrhaftigkeit</w:t>
            </w:r>
            <w:r w:rsidR="00C74D4E" w:rsidRPr="002F2FAA">
              <w:t xml:space="preserve"> der Sinne?“</w:t>
            </w:r>
            <w:r w:rsidR="00B91971" w:rsidRPr="002F2FAA">
              <w:t xml:space="preserve"> Vgl. </w:t>
            </w:r>
            <w:r w:rsidR="00C74D4E" w:rsidRPr="002F2FAA">
              <w:t xml:space="preserve">Plato, </w:t>
            </w:r>
            <w:hyperlink r:id="rId15" w:anchor="doc=tlg&amp;aid=0059&amp;wid=042&amp;q=PLATO&amp;dt=list&amp;st=all&amp;per=50" w:tooltip="S.R. Slings, Platonis Rempublicam, Oxford: Oxford University Press, 2003: 1-409." w:history="1">
              <w:r w:rsidR="00C74D4E" w:rsidRPr="002F2FAA">
                <w:t>Respublica 1.</w:t>
              </w:r>
            </w:hyperlink>
            <w:r w:rsidR="00C74D4E" w:rsidRPr="002F2FAA">
              <w:t xml:space="preserve">331,C  „τοῦτο δ’ αὐτό,  τὴν δικαιοσύνην, πότερα </w:t>
            </w:r>
            <w:r w:rsidR="00C74D4E" w:rsidRPr="0087027B">
              <w:rPr>
                <w:u w:val="single"/>
              </w:rPr>
              <w:t>τὴν ἀλήθειαν</w:t>
            </w:r>
            <w:r w:rsidR="00C74D4E" w:rsidRPr="002F2FAA">
              <w:t xml:space="preserve"> αὐτὸ φήσομεν εἶναι πλῶς οὕτως”. “Eben dieses aber, die Gerechtigkeit, sollen wir sie eher als die </w:t>
            </w:r>
            <w:r w:rsidR="00C74D4E" w:rsidRPr="0087027B">
              <w:rPr>
                <w:u w:val="single"/>
              </w:rPr>
              <w:t>Wahrhaftigkeit</w:t>
            </w:r>
            <w:r w:rsidR="00C74D4E" w:rsidRPr="002F2FAA">
              <w:t xml:space="preserve"> bezeichnen, da es so einf</w:t>
            </w:r>
            <w:r w:rsidR="00C74D4E" w:rsidRPr="002F2FAA">
              <w:t>a</w:t>
            </w:r>
            <w:r w:rsidR="00C74D4E" w:rsidRPr="002F2FAA">
              <w:t>cher ist?”.</w:t>
            </w:r>
            <w:r w:rsidR="00A543F9" w:rsidRPr="002F2FAA">
              <w:t xml:space="preserve"> Zudem zeigt das Pronomen „dein“ an, dass es etwas pers</w:t>
            </w:r>
            <w:r w:rsidR="00A543F9" w:rsidRPr="002F2FAA">
              <w:t>o</w:t>
            </w:r>
            <w:r w:rsidR="00A543F9" w:rsidRPr="002F2FAA">
              <w:t xml:space="preserve">nales ist, was mit ἀληθείᾳ zum Ausdruck kommt. Wahrheit per se ist eine absolute Größe und nicht von einer Person abhängig. Es gibt nicht </w:t>
            </w:r>
            <w:r>
              <w:t xml:space="preserve">die </w:t>
            </w:r>
            <w:r w:rsidR="00A543F9" w:rsidRPr="002F2FAA">
              <w:t xml:space="preserve">Wahrheit </w:t>
            </w:r>
            <w:r>
              <w:t xml:space="preserve">von Person </w:t>
            </w:r>
            <w:r w:rsidR="00A543F9" w:rsidRPr="002F2FAA">
              <w:t xml:space="preserve">A, B oder C, sondern </w:t>
            </w:r>
            <w:r w:rsidR="00A543F9" w:rsidRPr="0087027B">
              <w:rPr>
                <w:i/>
                <w:iCs/>
              </w:rPr>
              <w:t>eine</w:t>
            </w:r>
            <w:r w:rsidR="00A543F9" w:rsidRPr="002F2FAA">
              <w:t xml:space="preserve"> Wahrheit, die ist aber nicht in Bezug auf Gajus zu verorten, sondern allgemein und für alle Menschen. Daher deutet das Pronomen auf eine personale Eigenschaft </w:t>
            </w:r>
            <w:r>
              <w:t xml:space="preserve">des Begriffs </w:t>
            </w:r>
            <w:r w:rsidR="00A543F9" w:rsidRPr="002F2FAA">
              <w:t>hin, also, was Gajus aufweist und das kann in dem Zusammenhang „Wahrhaftigkeit, Treue, Loyalität“ etc. bedeuten.</w:t>
            </w:r>
          </w:p>
        </w:tc>
      </w:tr>
      <w:tr w:rsidR="00F13DF8" w:rsidRPr="002F2FAA" w:rsidTr="000562DB">
        <w:tc>
          <w:tcPr>
            <w:tcW w:w="1843" w:type="dxa"/>
          </w:tcPr>
          <w:p w:rsidR="00F13DF8" w:rsidRPr="002F2FAA" w:rsidRDefault="001B30B3" w:rsidP="001459F0">
            <w:r w:rsidRPr="002F2FAA">
              <w:t>1</w:t>
            </w:r>
            <w:r w:rsidR="00FB5EE3" w:rsidRPr="002F2FAA">
              <w:t>.4</w:t>
            </w:r>
            <w:r w:rsidR="003A6246" w:rsidRPr="002F2FAA">
              <w:t xml:space="preserve"> Μειζοτέραν τούτων οὐκ ἔχω χαράν, ἵνα ἀκούω τὰ ἐμὰ τέκνα ἐν </w:t>
            </w:r>
            <w:r w:rsidR="003A6246" w:rsidRPr="002F2FAA">
              <w:lastRenderedPageBreak/>
              <w:t>ἀληθείᾳ περιπατοῦντα.</w:t>
            </w:r>
          </w:p>
        </w:tc>
        <w:tc>
          <w:tcPr>
            <w:tcW w:w="2269" w:type="dxa"/>
          </w:tcPr>
          <w:p w:rsidR="00F13DF8" w:rsidRPr="002F2FAA" w:rsidRDefault="00E668CA" w:rsidP="001459F0">
            <w:r w:rsidRPr="002F2FAA">
              <w:lastRenderedPageBreak/>
              <w:t>Eine g</w:t>
            </w:r>
            <w:r w:rsidR="003A6246" w:rsidRPr="002F2FAA">
              <w:t xml:space="preserve">rößere </w:t>
            </w:r>
            <w:r w:rsidR="0054518D" w:rsidRPr="002F2FAA">
              <w:t xml:space="preserve">Freude </w:t>
            </w:r>
            <w:r w:rsidR="003A6246" w:rsidRPr="002F2FAA">
              <w:t xml:space="preserve">als diese (Dinge) </w:t>
            </w:r>
            <w:r w:rsidR="0054518D" w:rsidRPr="002F2FAA">
              <w:t>habe ich nicht</w:t>
            </w:r>
            <w:r w:rsidRPr="002F2FAA">
              <w:t>, d</w:t>
            </w:r>
            <w:r w:rsidR="0054518D" w:rsidRPr="002F2FAA">
              <w:t xml:space="preserve">ass ich </w:t>
            </w:r>
            <w:r w:rsidR="00E15B0D" w:rsidRPr="002F2FAA">
              <w:t xml:space="preserve">über meine Kindern </w:t>
            </w:r>
            <w:r w:rsidR="0054518D" w:rsidRPr="002F2FAA">
              <w:t xml:space="preserve">höre, </w:t>
            </w:r>
            <w:r w:rsidR="00E15B0D" w:rsidRPr="002F2FAA">
              <w:lastRenderedPageBreak/>
              <w:t xml:space="preserve">wenn sie </w:t>
            </w:r>
            <w:r w:rsidR="0054518D" w:rsidRPr="002F2FAA">
              <w:t>in Wahrheit wandeln.</w:t>
            </w:r>
          </w:p>
        </w:tc>
        <w:tc>
          <w:tcPr>
            <w:tcW w:w="6520" w:type="dxa"/>
          </w:tcPr>
          <w:p w:rsidR="00F13DF8" w:rsidRPr="002F2FAA" w:rsidRDefault="007A1CCF" w:rsidP="00DF086D">
            <w:pPr>
              <w:jc w:val="both"/>
            </w:pPr>
            <w:r w:rsidRPr="002F2FAA">
              <w:lastRenderedPageBreak/>
              <w:t>Die große Freu</w:t>
            </w:r>
            <w:r w:rsidR="00E668CA" w:rsidRPr="002F2FAA">
              <w:t xml:space="preserve">de wird nun genauer quantifiziert, indem Johannes deutlich macht, dass es die </w:t>
            </w:r>
            <w:r w:rsidR="00E668CA" w:rsidRPr="006D2EB6">
              <w:rPr>
                <w:u w:val="single"/>
              </w:rPr>
              <w:t>größte</w:t>
            </w:r>
            <w:r w:rsidR="00E668CA" w:rsidRPr="002F2FAA">
              <w:t xml:space="preserve"> Freude für ihn ist, wenn seine Ki</w:t>
            </w:r>
            <w:r w:rsidR="00E668CA" w:rsidRPr="002F2FAA">
              <w:t>n</w:t>
            </w:r>
            <w:r w:rsidR="00E668CA" w:rsidRPr="002F2FAA">
              <w:t>der in der Wahrheit wandeln. Johannes gebraucht eine für den Supe</w:t>
            </w:r>
            <w:r w:rsidR="00E668CA" w:rsidRPr="002F2FAA">
              <w:t>r</w:t>
            </w:r>
            <w:r w:rsidR="00E668CA" w:rsidRPr="002F2FAA">
              <w:t xml:space="preserve">lativ (d.h. die Freunde ist am größten) äquivalente Formulierung, d.h. </w:t>
            </w:r>
            <w:r w:rsidR="00E668CA" w:rsidRPr="002F2FAA">
              <w:lastRenderedPageBreak/>
              <w:t>es ist gleichbedeutend zu sagen: „Die Fre</w:t>
            </w:r>
            <w:r w:rsidR="006D2EB6">
              <w:t>ude ist am größten“ mit „Es gibt keine Freude, die größer ist</w:t>
            </w:r>
            <w:r w:rsidR="00E668CA" w:rsidRPr="002F2FAA">
              <w:t>“. Das Demonstrativpronomen τούτων („als diese“) ist dem Kasus Genitiv nach als Komparativ zu verstehen</w:t>
            </w:r>
            <w:r w:rsidR="00C17F1B" w:rsidRPr="002F2FAA">
              <w:t xml:space="preserve"> (Genitivus  comparationis)</w:t>
            </w:r>
            <w:r w:rsidR="00E668CA" w:rsidRPr="002F2FAA">
              <w:t xml:space="preserve">, nämlich, dass </w:t>
            </w:r>
            <w:r w:rsidR="00E15B0D" w:rsidRPr="002F2FAA">
              <w:t>berichtete</w:t>
            </w:r>
            <w:r w:rsidR="00E668CA" w:rsidRPr="002F2FAA">
              <w:t xml:space="preserve"> Sachverhalte </w:t>
            </w:r>
            <w:r w:rsidR="00E15B0D" w:rsidRPr="002F2FAA">
              <w:t>wie der Wandel des</w:t>
            </w:r>
            <w:r w:rsidR="00E668CA" w:rsidRPr="002F2FAA">
              <w:t xml:space="preserve"> Gajus, keine größere Freunde </w:t>
            </w:r>
            <w:r w:rsidR="00A543F9" w:rsidRPr="002F2FAA">
              <w:t xml:space="preserve">bei Johannes </w:t>
            </w:r>
            <w:r w:rsidR="00E668CA" w:rsidRPr="002F2FAA">
              <w:t>hätten auslösen können. Johannes benutzt eine allgemeine Formulierung, unter die Gajus sich einordnen kann, da er auch zu den geistlichen Kindern des Johannes gehört, wohl, weil er von ihm zum Herrn Jesus geführt und/oder als Jünger geschult wurde, wovon ja der Wandel in Wahrheit der deutlichste Ausdruck ist.</w:t>
            </w:r>
            <w:r w:rsidR="00E15B0D" w:rsidRPr="002F2FAA">
              <w:t xml:space="preserve"> Der Inhalt dessen, was die Br</w:t>
            </w:r>
            <w:r w:rsidR="00E15B0D" w:rsidRPr="002F2FAA">
              <w:t>ü</w:t>
            </w:r>
            <w:r w:rsidR="00E15B0D" w:rsidRPr="002F2FAA">
              <w:t xml:space="preserve">der Johannes berichtet haben, ist nicht in Form eines AcI oder mit eine weiteren Konjunktion wie „dass“ </w:t>
            </w:r>
            <w:r w:rsidR="006D2EB6">
              <w:t>formuliert</w:t>
            </w:r>
            <w:r w:rsidR="00E15B0D" w:rsidRPr="002F2FAA">
              <w:t xml:space="preserve">, sondern mit einem Partizipialsatz: ἐν ἀληθείᾳ περιπατοῦντα („wenn sie in Wahrheit wandeln“). Dabei ist der Akkusativ τὰ ἐμὰ τέκνα („meine Kinder“) eine Angabe der Referenz </w:t>
            </w:r>
            <w:r w:rsidR="00A543F9" w:rsidRPr="002F2FAA">
              <w:t xml:space="preserve">bzw. der Bezuges </w:t>
            </w:r>
            <w:r w:rsidR="00E15B0D" w:rsidRPr="002F2FAA">
              <w:t xml:space="preserve">(nicht das direkte Objekt „dass ich </w:t>
            </w:r>
            <w:r w:rsidR="00E15B0D" w:rsidRPr="006D2EB6">
              <w:rPr>
                <w:u w:val="single"/>
              </w:rPr>
              <w:t>meine Kinder</w:t>
            </w:r>
            <w:r w:rsidR="00E15B0D" w:rsidRPr="002F2FAA">
              <w:t xml:space="preserve"> höre“</w:t>
            </w:r>
            <w:r w:rsidR="00C17F1B" w:rsidRPr="002F2FAA">
              <w:t>, da Johannes nicht darüber mit Gajus geredet hatte, sondern darüber von den Brüdern erfahren hatte</w:t>
            </w:r>
            <w:r w:rsidR="00A543F9" w:rsidRPr="002F2FAA">
              <w:t>)</w:t>
            </w:r>
            <w:r w:rsidR="00C17F1B" w:rsidRPr="002F2FAA">
              <w:t>. Vgl. ἀκούω mit Akkusativ im Sinne von „hören von“ in Matthäus 24.6, Markus 13.7, Lukas 21.9 bzw. 23.6, Apostelgeschichte 17.32, Epheser 3.2, Kolosser 1.4; Philemon 1.5; Jakobus 5.11</w:t>
            </w:r>
            <w:r w:rsidR="00DF086D">
              <w:t>.</w:t>
            </w:r>
            <w:r w:rsidR="00E15B0D" w:rsidRPr="002F2FAA">
              <w:t xml:space="preserve"> </w:t>
            </w:r>
            <w:r w:rsidR="00A543F9" w:rsidRPr="002F2FAA">
              <w:t>Davon ist ein Partizipialsatz, d.h. ein weiterer Nebensatz, abhängig, der besagt, worin das Gehörte besteht, d.h. was, wenn es Johannes von seinen Kindern hört, in ihm größte Freude auslöst: Der</w:t>
            </w:r>
            <w:r w:rsidR="0087027B">
              <w:t>en</w:t>
            </w:r>
            <w:r w:rsidR="00A543F9" w:rsidRPr="002F2FAA">
              <w:t xml:space="preserve"> Wandel in der Wahrheit. </w:t>
            </w:r>
            <w:r w:rsidR="00E15B0D" w:rsidRPr="002F2FAA">
              <w:t>Die Phrase ἐν ἀληθείᾳ („in Wahrheit“) ist eine Angabe, wovon der Wandel geprägt ist</w:t>
            </w:r>
            <w:r w:rsidR="00C17F1B" w:rsidRPr="002F2FAA">
              <w:t>. U</w:t>
            </w:r>
            <w:r w:rsidR="00E15B0D" w:rsidRPr="002F2FAA">
              <w:t xml:space="preserve">nd περιπατοῦντα („sie wandeln“) als Partizip im Präsens zeigt die Dauerhaftigkeit des Wandels an. D.h. </w:t>
            </w:r>
            <w:r w:rsidR="00DF086D">
              <w:t>v</w:t>
            </w:r>
            <w:r w:rsidR="00E15B0D" w:rsidRPr="002F2FAA">
              <w:t>on den Brüder, die von Gajus kamen und ihm über seinen Wandel in Wahrheit berichteten, ausg</w:t>
            </w:r>
            <w:r w:rsidR="00E15B0D" w:rsidRPr="002F2FAA">
              <w:t>e</w:t>
            </w:r>
            <w:r w:rsidR="00E15B0D" w:rsidRPr="002F2FAA">
              <w:t>hend, beschreibt Johannes in einer allgemeinen Aussage, dass es für ihn die größte Form der Freude ist, wenn ihm zugetragen wird, dass seine geistlichen Kinder, wie Gajus,  im Einklang mit der Wahrheit von Gottes Wort ihr Leben führen.</w:t>
            </w:r>
          </w:p>
        </w:tc>
      </w:tr>
      <w:tr w:rsidR="00B73332" w:rsidRPr="002F2FAA" w:rsidTr="000562DB">
        <w:tc>
          <w:tcPr>
            <w:tcW w:w="1843" w:type="dxa"/>
          </w:tcPr>
          <w:p w:rsidR="00B73332" w:rsidRPr="002F2FAA" w:rsidRDefault="00B73332" w:rsidP="001459F0">
            <w:r w:rsidRPr="002F2FAA">
              <w:lastRenderedPageBreak/>
              <w:t>1.5 Ἀγαπητέ, πιστὸν ποιεῖς ὃ ἐὰν ἐργάσῃ εἰς τοὺς ἀδελφοὺς καὶ εἰς τοὺς ξένους,</w:t>
            </w:r>
          </w:p>
          <w:p w:rsidR="00B73332" w:rsidRPr="002F2FAA" w:rsidRDefault="00B73332" w:rsidP="001459F0"/>
        </w:tc>
        <w:tc>
          <w:tcPr>
            <w:tcW w:w="2269" w:type="dxa"/>
          </w:tcPr>
          <w:p w:rsidR="00B73332" w:rsidRPr="002F2FAA" w:rsidRDefault="00B73332" w:rsidP="001459F0">
            <w:r w:rsidRPr="002F2FAA">
              <w:t>Geliebter, treu ha</w:t>
            </w:r>
            <w:r w:rsidRPr="002F2FAA">
              <w:t>n</w:t>
            </w:r>
            <w:r w:rsidRPr="002F2FAA">
              <w:t>delst du (darin), was du auch leistest für die Brüder und für die Fremden</w:t>
            </w:r>
            <w:r w:rsidR="00A543F9" w:rsidRPr="002F2FAA">
              <w:t>,</w:t>
            </w:r>
          </w:p>
        </w:tc>
        <w:tc>
          <w:tcPr>
            <w:tcW w:w="6520" w:type="dxa"/>
          </w:tcPr>
          <w:p w:rsidR="00B73332" w:rsidRPr="002F2FAA" w:rsidRDefault="000E641F" w:rsidP="000A53C4">
            <w:pPr>
              <w:jc w:val="both"/>
            </w:pPr>
            <w:r w:rsidRPr="002F2FAA">
              <w:t xml:space="preserve">Das Relativpronomen </w:t>
            </w:r>
            <w:r w:rsidR="004F279C" w:rsidRPr="002F2FAA">
              <w:t xml:space="preserve">ὃ </w:t>
            </w:r>
            <w:r w:rsidRPr="002F2FAA">
              <w:t>hat kein Bezug</w:t>
            </w:r>
            <w:r w:rsidR="004F279C" w:rsidRPr="002F2FAA">
              <w:t xml:space="preserve">swort. </w:t>
            </w:r>
            <w:r w:rsidR="00B73332" w:rsidRPr="002F2FAA">
              <w:t>Die Prädikate ποιεῖς („du handelst“) und ἐργάσῃ („du arbeitest“, „du leistest“) sprechen von Fleiß, Wirksamkeit, Arbeit, Mühe, die Johannes mit dem Attribut πιστός („treu“) versieht.</w:t>
            </w:r>
            <w:r w:rsidRPr="002F2FAA">
              <w:t xml:space="preserve"> Die Syntax der mit εἰς  (“für”) begonnenen Präpositionalphrase spricht mit Blick auf P</w:t>
            </w:r>
            <w:r w:rsidR="00CA096F" w:rsidRPr="002F2FAA">
              <w:t>a</w:t>
            </w:r>
            <w:r w:rsidRPr="002F2FAA">
              <w:t>rallelstellen (Mt. 6.2,5; Mk. 5.5,14; Lk. 8.34; Rom. 15.4; 1Kor. 10.2; Kol. 1.26; 1Thess. 1.8; 1Joh. 1.3; 2.24; 3Joh. 1.5; Offb. 6.15; 9.15; 10.5,8; 12.5; 15.2; 16.4; 19.16; 20.4) dagegen, dass καὶ explikativ ist („und zwar“, „genauer gesagt“), insbesondere da die Präposition und der Artikel vor dem zweiten N</w:t>
            </w:r>
            <w:r w:rsidRPr="002F2FAA">
              <w:t>o</w:t>
            </w:r>
            <w:r w:rsidRPr="002F2FAA">
              <w:t>men noch einmal davor steht und dies dem zweiten Element eine Eigenständigkeit verleiht.</w:t>
            </w:r>
            <w:r w:rsidR="004F279C" w:rsidRPr="002F2FAA">
              <w:t xml:space="preserve"> Würden Präposition und Artikel beim zwe</w:t>
            </w:r>
            <w:r w:rsidR="004F279C" w:rsidRPr="002F2FAA">
              <w:t>i</w:t>
            </w:r>
            <w:r w:rsidR="004F279C" w:rsidRPr="002F2FAA">
              <w:t>ten Element fehlen (vgl. Lk. 21.12; Joh. 7.45; Apg. 15.22), würde dies eine stärkere Zusammengehörigkeit angeben. So aber sind die beiden von einander abgehoben, sodass die Fremden wohl keine Untergru</w:t>
            </w:r>
            <w:r w:rsidR="004F279C" w:rsidRPr="002F2FAA">
              <w:t>p</w:t>
            </w:r>
            <w:r w:rsidR="004F279C" w:rsidRPr="002F2FAA">
              <w:t>pe der Brüder sind. Dies würde darauf hindeuten, dass Gajus</w:t>
            </w:r>
            <w:r w:rsidR="00A543F9" w:rsidRPr="002F2FAA">
              <w:t>,</w:t>
            </w:r>
            <w:r w:rsidR="004F279C" w:rsidRPr="002F2FAA">
              <w:t xml:space="preserve"> der Wirt aus Römer 16.23 ist, der Paulus und die Versammlung beherbergte.</w:t>
            </w:r>
          </w:p>
        </w:tc>
      </w:tr>
      <w:tr w:rsidR="00B73332" w:rsidRPr="002F2FAA" w:rsidTr="000562DB">
        <w:tc>
          <w:tcPr>
            <w:tcW w:w="1843" w:type="dxa"/>
          </w:tcPr>
          <w:p w:rsidR="00B73332" w:rsidRPr="002F2FAA" w:rsidRDefault="00B73332" w:rsidP="001459F0">
            <w:r w:rsidRPr="002F2FAA">
              <w:t>1.6</w:t>
            </w:r>
            <w:r w:rsidR="004F279C" w:rsidRPr="002F2FAA">
              <w:t xml:space="preserve"> οἳ ἐμαρτύρησάν σου τῇ ἀγάπῃ ἐνώπιον ἐκκλησίας· οὓς καλῶς ποιήσεις προπέμψας ἀξίως </w:t>
            </w:r>
            <w:r w:rsidR="004F279C" w:rsidRPr="002F2FAA">
              <w:lastRenderedPageBreak/>
              <w:t>τοῦ θεοῦ.</w:t>
            </w:r>
          </w:p>
        </w:tc>
        <w:tc>
          <w:tcPr>
            <w:tcW w:w="2269" w:type="dxa"/>
          </w:tcPr>
          <w:p w:rsidR="00B73332" w:rsidRPr="002F2FAA" w:rsidRDefault="00A543F9" w:rsidP="00140121">
            <w:r w:rsidRPr="002F2FAA">
              <w:lastRenderedPageBreak/>
              <w:t>die deine Liebe vor der Versammlung bezeugt haben</w:t>
            </w:r>
            <w:r w:rsidR="00140121" w:rsidRPr="002F2FAA">
              <w:t>. D</w:t>
            </w:r>
            <w:r w:rsidR="0030045E">
              <w:t xml:space="preserve">u </w:t>
            </w:r>
            <w:r w:rsidR="00140121" w:rsidRPr="002F2FAA">
              <w:t xml:space="preserve">wirst </w:t>
            </w:r>
            <w:r w:rsidR="009432A5" w:rsidRPr="002F2FAA">
              <w:t>wohl tu</w:t>
            </w:r>
            <w:r w:rsidR="00140121" w:rsidRPr="002F2FAA">
              <w:t>n</w:t>
            </w:r>
            <w:r w:rsidR="009432A5" w:rsidRPr="002F2FAA">
              <w:t xml:space="preserve">, </w:t>
            </w:r>
            <w:r w:rsidR="00140121" w:rsidRPr="002F2FAA">
              <w:t>indem</w:t>
            </w:r>
            <w:r w:rsidR="009432A5" w:rsidRPr="002F2FAA">
              <w:t xml:space="preserve"> du sie </w:t>
            </w:r>
            <w:r w:rsidR="00C014BD" w:rsidRPr="002F2FAA">
              <w:t>go</w:t>
            </w:r>
            <w:r w:rsidR="00C014BD" w:rsidRPr="002F2FAA">
              <w:t>t</w:t>
            </w:r>
            <w:r w:rsidR="00C014BD" w:rsidRPr="002F2FAA">
              <w:t xml:space="preserve">teswürdig  </w:t>
            </w:r>
            <w:r w:rsidR="009432A5" w:rsidRPr="002F2FAA">
              <w:t>geleitest</w:t>
            </w:r>
            <w:r w:rsidR="00C014BD" w:rsidRPr="002F2FAA">
              <w:t>.</w:t>
            </w:r>
          </w:p>
        </w:tc>
        <w:tc>
          <w:tcPr>
            <w:tcW w:w="6520" w:type="dxa"/>
          </w:tcPr>
          <w:p w:rsidR="00B73332" w:rsidRPr="002F2FAA" w:rsidRDefault="00A543F9" w:rsidP="00D33419">
            <w:pPr>
              <w:jc w:val="both"/>
            </w:pPr>
            <w:r w:rsidRPr="002F2FAA">
              <w:t>Johannes setzt nun mit einem Relativsatz fort, in dem er die Brüder vom Satz davor näher beschreibt bzw. dazusagt, was diese getan h</w:t>
            </w:r>
            <w:r w:rsidRPr="002F2FAA">
              <w:t>a</w:t>
            </w:r>
            <w:r w:rsidRPr="002F2FAA">
              <w:t>ben. Mit dem Relativpronomen οἳ („die“) leitet er den Relativsatz ein.</w:t>
            </w:r>
            <w:r w:rsidR="00140121" w:rsidRPr="002F2FAA">
              <w:t xml:space="preserve"> Das Relativpronomen οὓς</w:t>
            </w:r>
            <w:r w:rsidR="00A3425B" w:rsidRPr="002F2FAA">
              <w:t xml:space="preserve"> könnte</w:t>
            </w:r>
            <w:r w:rsidR="00140121" w:rsidRPr="002F2FAA">
              <w:t xml:space="preserve"> als Akkusativ der Beziehung (accus</w:t>
            </w:r>
            <w:r w:rsidR="00140121" w:rsidRPr="002F2FAA">
              <w:t>a</w:t>
            </w:r>
            <w:r w:rsidR="00140121" w:rsidRPr="002F2FAA">
              <w:t>tivus respectūs/relationis/graecus) erscheinen. Dies entspräche Vo</w:t>
            </w:r>
            <w:r w:rsidR="00140121" w:rsidRPr="002F2FAA">
              <w:t>r</w:t>
            </w:r>
            <w:r w:rsidR="00140121" w:rsidRPr="002F2FAA">
              <w:t>kommen wie Genesis 32.20 “</w:t>
            </w:r>
            <w:r w:rsidR="00140121" w:rsidRPr="002F2FAA">
              <w:rPr>
                <w:u w:val="single"/>
              </w:rPr>
              <w:t>καλῶς</w:t>
            </w:r>
            <w:r w:rsidR="00140121" w:rsidRPr="002F2FAA">
              <w:t xml:space="preserve"> εὖ </w:t>
            </w:r>
            <w:r w:rsidR="00140121" w:rsidRPr="002F2FAA">
              <w:rPr>
                <w:u w:val="single"/>
              </w:rPr>
              <w:t>σε ποιήσω</w:t>
            </w:r>
            <w:r w:rsidR="00140121" w:rsidRPr="002F2FAA">
              <w:t>“. „</w:t>
            </w:r>
            <w:r w:rsidR="00140121" w:rsidRPr="002F2FAA">
              <w:rPr>
                <w:u w:val="single"/>
              </w:rPr>
              <w:t>Vortrefflich</w:t>
            </w:r>
            <w:r w:rsidR="00140121" w:rsidRPr="002F2FAA">
              <w:t xml:space="preserve"> gut werde ich </w:t>
            </w:r>
            <w:r w:rsidR="00140121" w:rsidRPr="002F2FAA">
              <w:rPr>
                <w:u w:val="single"/>
              </w:rPr>
              <w:t>an dir handeln</w:t>
            </w:r>
            <w:r w:rsidR="00140121" w:rsidRPr="002F2FAA">
              <w:t xml:space="preserve">“. D.h. der Akkusativ gibt an, an wem gut </w:t>
            </w:r>
            <w:r w:rsidR="00140121" w:rsidRPr="002F2FAA">
              <w:lastRenderedPageBreak/>
              <w:t>gehandelt wird, der Relativsatz zeigt an, auf welche Weise das ve</w:t>
            </w:r>
            <w:r w:rsidR="00140121" w:rsidRPr="002F2FAA">
              <w:t>r</w:t>
            </w:r>
            <w:r w:rsidR="00140121" w:rsidRPr="002F2FAA">
              <w:t>wirklicht werden kann. Im  Neuen Testament erscheint dies jedoch selten, daher erscheint die Annahme eines in den Hauptsatz vorgez</w:t>
            </w:r>
            <w:r w:rsidR="00140121" w:rsidRPr="002F2FAA">
              <w:t>o</w:t>
            </w:r>
            <w:r w:rsidR="00140121" w:rsidRPr="002F2FAA">
              <w:t>genen Relativpronomen</w:t>
            </w:r>
            <w:r w:rsidR="00526C39" w:rsidRPr="002F2FAA">
              <w:t>s</w:t>
            </w:r>
            <w:r w:rsidR="00140121" w:rsidRPr="002F2FAA">
              <w:t xml:space="preserve"> plausibler. Dies wäre analog zu 2Petrus 1.19 „καὶ ἔχομεν βεβαιότερον τὸν προφητικὸν λόγον </w:t>
            </w:r>
            <w:r w:rsidR="00140121" w:rsidRPr="002F2FAA">
              <w:rPr>
                <w:u w:val="single"/>
              </w:rPr>
              <w:t>ᾧ καλῶς ποιεῖτε προσέχοντες</w:t>
            </w:r>
            <w:r w:rsidR="00140121" w:rsidRPr="002F2FAA">
              <w:t xml:space="preserve"> ὡς λύχνῳ φαίνοντι ἐν αὐχμηρῷ τόπῳ“. „Und </w:t>
            </w:r>
            <w:r w:rsidR="00D33419" w:rsidRPr="002F2FAA">
              <w:t>wir haben</w:t>
            </w:r>
            <w:r w:rsidR="00140121" w:rsidRPr="002F2FAA">
              <w:t xml:space="preserve"> das prophetische Wort fest</w:t>
            </w:r>
            <w:r w:rsidR="00D33419" w:rsidRPr="002F2FAA">
              <w:t>er</w:t>
            </w:r>
            <w:r w:rsidR="00140121" w:rsidRPr="002F2FAA">
              <w:t xml:space="preserve">, </w:t>
            </w:r>
            <w:r w:rsidR="00140121" w:rsidRPr="0087027B">
              <w:rPr>
                <w:u w:val="single"/>
              </w:rPr>
              <w:t>auf welches</w:t>
            </w:r>
            <w:r w:rsidR="00140121" w:rsidRPr="002F2FAA">
              <w:t xml:space="preserve"> zu achten ihr wohl tut</w:t>
            </w:r>
            <w:r w:rsidR="00D33419" w:rsidRPr="002F2FAA">
              <w:t xml:space="preserve">“. Der Unterschied im Kasus bei Petrus ist, dass jeweils die Partizipien einen anderen Kasus regieren (προπέμψας: Akkusativ; </w:t>
            </w:r>
            <w:r w:rsidR="00D33419" w:rsidRPr="002F2FAA">
              <w:rPr>
                <w:u w:val="single"/>
              </w:rPr>
              <w:t>προσέχοντες: Dativ)</w:t>
            </w:r>
            <w:r w:rsidR="00F51899" w:rsidRPr="002F2FAA">
              <w:rPr>
                <w:u w:val="single"/>
              </w:rPr>
              <w:t>.</w:t>
            </w:r>
            <w:r w:rsidR="00F51899" w:rsidRPr="002F2FAA">
              <w:t xml:space="preserve"> Wie gotteswürdiges Geleit praktisch aussieht, zeigt uns Apo</w:t>
            </w:r>
            <w:r w:rsidR="00F51899" w:rsidRPr="002F2FAA">
              <w:t>s</w:t>
            </w:r>
            <w:r w:rsidR="00F51899" w:rsidRPr="002F2FAA">
              <w:t>telgeschichte 20.38, wo die älteren Brüder Paulus bis zum Schiff brachten, gemeinsam beten und ihn dann abfahren ließen.</w:t>
            </w:r>
          </w:p>
        </w:tc>
      </w:tr>
      <w:tr w:rsidR="00B73332" w:rsidRPr="002F2FAA" w:rsidTr="000562DB">
        <w:tc>
          <w:tcPr>
            <w:tcW w:w="1843" w:type="dxa"/>
          </w:tcPr>
          <w:p w:rsidR="00B73332" w:rsidRPr="002F2FAA" w:rsidRDefault="00B73332" w:rsidP="001459F0">
            <w:r w:rsidRPr="002F2FAA">
              <w:lastRenderedPageBreak/>
              <w:t>1.7  Ὑπὲρ γὰρ τοῦ ὀνόματος ἐξῆλθον μηδὲν λαμβάνοντες ἀπὸ τῶν ἐθνῶν.</w:t>
            </w:r>
          </w:p>
        </w:tc>
        <w:tc>
          <w:tcPr>
            <w:tcW w:w="2269" w:type="dxa"/>
          </w:tcPr>
          <w:p w:rsidR="00B73332" w:rsidRPr="002F2FAA" w:rsidRDefault="00B73332" w:rsidP="001459F0">
            <w:r w:rsidRPr="002F2FAA">
              <w:t xml:space="preserve">Denn für den Namen gingen sie aus, wobei sie nichts von den Heiden </w:t>
            </w:r>
            <w:r w:rsidR="00C76575" w:rsidRPr="002F2FAA">
              <w:t>nahmen</w:t>
            </w:r>
            <w:r w:rsidRPr="002F2FAA">
              <w:t>.</w:t>
            </w:r>
          </w:p>
        </w:tc>
        <w:tc>
          <w:tcPr>
            <w:tcW w:w="6520" w:type="dxa"/>
          </w:tcPr>
          <w:p w:rsidR="00B73332" w:rsidRPr="002F2FAA" w:rsidRDefault="00B73332" w:rsidP="00DF086D">
            <w:pPr>
              <w:jc w:val="both"/>
            </w:pPr>
            <w:r w:rsidRPr="002F2FAA">
              <w:t>Mit μηδὲν λαμβάνοντες („wobei sie nichts nahmen“) leitet einen N</w:t>
            </w:r>
            <w:r w:rsidRPr="002F2FAA">
              <w:t>e</w:t>
            </w:r>
            <w:r w:rsidRPr="002F2FAA">
              <w:t>bensatz ein, der das Hintergrundgeschehen beleuchtet und nicht auf gleicher inhaltlicher und syntaktischer Ebene des Hauptsatzes steht. Wichtiger ist also</w:t>
            </w:r>
            <w:r w:rsidR="00DF086D">
              <w:t>,</w:t>
            </w:r>
            <w:r w:rsidRPr="002F2FAA">
              <w:t xml:space="preserve"> dass sie für den Namen ausgingen, dabei aber nichts von Menschen bekamen oder nahmen, die keine Christen sind.</w:t>
            </w:r>
            <w:r w:rsidR="00E36266" w:rsidRPr="002F2FAA">
              <w:t xml:space="preserve"> Die Phrase λαμβάνω ἀπό</w:t>
            </w:r>
            <w:r w:rsidR="0087027B">
              <w:t xml:space="preserve"> („nehmen von“)</w:t>
            </w:r>
            <w:r w:rsidR="00E36266" w:rsidRPr="002F2FAA">
              <w:t xml:space="preserve">  wirft die Frage auf, ob die Heiden von sich aus nichts geben wollten oder die reisenden Brüder dies </w:t>
            </w:r>
            <w:r w:rsidR="00E46D31" w:rsidRPr="002F2FAA">
              <w:t xml:space="preserve">nur </w:t>
            </w:r>
            <w:r w:rsidR="00E36266" w:rsidRPr="002F2FAA">
              <w:t>nicht annehmen wollten, d.h. ob es um „</w:t>
            </w:r>
            <w:r w:rsidR="00EE01D5" w:rsidRPr="002F2FAA">
              <w:t>kriegen</w:t>
            </w:r>
            <w:r w:rsidR="00E36266" w:rsidRPr="002F2FAA">
              <w:t xml:space="preserve"> von“ oder </w:t>
            </w:r>
            <w:r w:rsidR="00EE01D5" w:rsidRPr="002F2FAA">
              <w:t>„</w:t>
            </w:r>
            <w:r w:rsidR="00E36266" w:rsidRPr="002F2FAA">
              <w:t xml:space="preserve">nehmen von“ handelt (wie in Galater 2.6, wo das Empfangen bzw. </w:t>
            </w:r>
            <w:r w:rsidR="00E46D31" w:rsidRPr="002F2FAA">
              <w:t>das Ann</w:t>
            </w:r>
            <w:r w:rsidR="00E36266" w:rsidRPr="002F2FAA">
              <w:t>ehmen im Vordergrund steht), oder ggf.  beides, d.h. die He</w:t>
            </w:r>
            <w:r w:rsidR="00E36266" w:rsidRPr="002F2FAA">
              <w:t>i</w:t>
            </w:r>
            <w:r w:rsidR="00E36266" w:rsidRPr="002F2FAA">
              <w:t xml:space="preserve">den wollten nichts geben und die Christen auch nichts annehmen. Vgl. dazu 1Johannes 2.27: „τὸ χρίσμα ὃ </w:t>
            </w:r>
            <w:r w:rsidR="00E36266" w:rsidRPr="002F2FAA">
              <w:rPr>
                <w:u w:val="single"/>
              </w:rPr>
              <w:t xml:space="preserve">ἐλάβετε ἀπ᾽ </w:t>
            </w:r>
            <w:r w:rsidR="00E36266" w:rsidRPr="002F2FAA">
              <w:t xml:space="preserve">αὐτοῦ ἐν ὑμῖν μένει“. „Die Salbung, die ihr von ihm </w:t>
            </w:r>
            <w:r w:rsidR="00E36266" w:rsidRPr="002F2FAA">
              <w:rPr>
                <w:u w:val="single"/>
              </w:rPr>
              <w:t>bekommen habt</w:t>
            </w:r>
            <w:r w:rsidR="00E36266" w:rsidRPr="002F2FAA">
              <w:t>, bleibt in euch“.</w:t>
            </w:r>
            <w:r w:rsidR="00DC3FCB" w:rsidRPr="002F2FAA">
              <w:t xml:space="preserve"> </w:t>
            </w:r>
            <w:r w:rsidR="00EE01D5" w:rsidRPr="002F2FAA">
              <w:t xml:space="preserve">In dem Fall nahmen die Christen das, was sie von Gott bekamen, nämlich, den Heiligen Geist, an. </w:t>
            </w:r>
            <w:r w:rsidR="00DC3FCB" w:rsidRPr="002F2FAA">
              <w:t xml:space="preserve">Vgl. </w:t>
            </w:r>
            <w:r w:rsidR="00C76575" w:rsidRPr="002F2FAA">
              <w:t xml:space="preserve">auch </w:t>
            </w:r>
            <w:r w:rsidR="00DC3FCB" w:rsidRPr="002F2FAA">
              <w:t xml:space="preserve">Demosthenes, in Midiam 28.8: „καὶ τοῦτον εἱλόμην τὸν ἀγῶν’ ἀφ’ οὗ μηδὲν ἔστι λῆμμα λαβεῖν ἐμοί“. „Und ich habe diese Handlungsweise gewählt, von der ich keinen </w:t>
            </w:r>
            <w:r w:rsidR="00EE01D5" w:rsidRPr="002F2FAA">
              <w:t>G</w:t>
            </w:r>
            <w:r w:rsidR="00EE01D5" w:rsidRPr="002F2FAA">
              <w:t>e</w:t>
            </w:r>
            <w:r w:rsidR="00EE01D5" w:rsidRPr="002F2FAA">
              <w:t>winn</w:t>
            </w:r>
            <w:r w:rsidR="00DC3FCB" w:rsidRPr="002F2FAA">
              <w:t xml:space="preserve"> für mich </w:t>
            </w:r>
            <w:r w:rsidR="00E46D31" w:rsidRPr="002F2FAA">
              <w:t>erzielt habe</w:t>
            </w:r>
            <w:r w:rsidR="00DC3FCB" w:rsidRPr="002F2FAA">
              <w:t xml:space="preserve">“. </w:t>
            </w:r>
            <w:r w:rsidR="00C76575" w:rsidRPr="002F2FAA">
              <w:t>Der Unterschied „bekommen“</w:t>
            </w:r>
            <w:r w:rsidR="00EE01D5" w:rsidRPr="002F2FAA">
              <w:t>, „kriegen“</w:t>
            </w:r>
            <w:r w:rsidR="00C76575" w:rsidRPr="002F2FAA">
              <w:t xml:space="preserve"> und „nehmen“ wird an folgender Stelle </w:t>
            </w:r>
            <w:r w:rsidR="009D319F" w:rsidRPr="002F2FAA">
              <w:rPr>
                <w:u w:val="single"/>
              </w:rPr>
              <w:t>Herennius Philo Lambda 77.2</w:t>
            </w:r>
            <w:r w:rsidR="009D319F" w:rsidRPr="002F2FAA">
              <w:t xml:space="preserve"> </w:t>
            </w:r>
            <w:r w:rsidR="00C76575" w:rsidRPr="002F2FAA">
              <w:t>ganz deutlich erklärt: „</w:t>
            </w:r>
            <w:r w:rsidR="009D319F" w:rsidRPr="002F2FAA">
              <w:t>λαβεῖν καὶ δέξασθαι διαφέρει. λαβεῖν μὲν γάρ ἐστι τὸ ἀνελέσθαι μηδενὸς διδόντος, δέξασθαι δὲ τὸ παρά τινος προτεινόμενον</w:t>
            </w:r>
            <w:r w:rsidR="00C76575" w:rsidRPr="002F2FAA">
              <w:t>“. „</w:t>
            </w:r>
            <w:r w:rsidR="00C76575" w:rsidRPr="002F2FAA">
              <w:rPr>
                <w:i/>
                <w:iCs/>
              </w:rPr>
              <w:t>Nehmen</w:t>
            </w:r>
            <w:r w:rsidR="00C76575" w:rsidRPr="002F2FAA">
              <w:t xml:space="preserve"> und </w:t>
            </w:r>
            <w:r w:rsidR="00F75DEB" w:rsidRPr="002F2FAA">
              <w:rPr>
                <w:i/>
                <w:iCs/>
              </w:rPr>
              <w:t>bekommen</w:t>
            </w:r>
            <w:r w:rsidR="00C76575" w:rsidRPr="002F2FAA">
              <w:t xml:space="preserve"> unterscheiden sich, denn „</w:t>
            </w:r>
            <w:r w:rsidR="009D319F" w:rsidRPr="002F2FAA">
              <w:rPr>
                <w:i/>
                <w:iCs/>
              </w:rPr>
              <w:t>N</w:t>
            </w:r>
            <w:r w:rsidR="00C76575" w:rsidRPr="002F2FAA">
              <w:rPr>
                <w:i/>
                <w:iCs/>
              </w:rPr>
              <w:t>ehmen</w:t>
            </w:r>
            <w:r w:rsidR="00C76575" w:rsidRPr="002F2FAA">
              <w:t xml:space="preserve">“ ist  </w:t>
            </w:r>
            <w:r w:rsidR="009D319F" w:rsidRPr="002F2FAA">
              <w:t xml:space="preserve">einerseits </w:t>
            </w:r>
            <w:r w:rsidR="00C76575" w:rsidRPr="002F2FAA">
              <w:t>das „</w:t>
            </w:r>
            <w:r w:rsidR="009D319F" w:rsidRPr="002F2FAA">
              <w:t>Zugreifen</w:t>
            </w:r>
            <w:r w:rsidR="00C76575" w:rsidRPr="002F2FAA">
              <w:t>“</w:t>
            </w:r>
            <w:r w:rsidR="009D319F" w:rsidRPr="002F2FAA">
              <w:t>, auch wenn niemand gibt,</w:t>
            </w:r>
            <w:r w:rsidR="00C76575" w:rsidRPr="002F2FAA">
              <w:t xml:space="preserve"> </w:t>
            </w:r>
            <w:r w:rsidR="00B00C9F" w:rsidRPr="002F2FAA">
              <w:t>„bekommen“</w:t>
            </w:r>
            <w:r w:rsidR="009D319F" w:rsidRPr="002F2FAA">
              <w:t xml:space="preserve"> andererseits ist, wenn jemand es anbietet“. D.h. man kann etwas nehmen, ob es angeboten wird oder nicht (im letzten Fall ist es nicht erlaubt, z.B. Diebstahl), man kann etwas bekommen, es aber nicht annehmen, etwa, wenn es nicht erlaubt ist, es zu haben ( z.B. Drogen, wenn sie angeboten werden). Hier geht es also darum, dass die Brüder, ob angeboten oder nicht, nichts nehmen wollten. Wohl da Ungläubige keinen Anteil am Werk des Herrn haben und diese ihren Dienst nicht bezahlen dürfen, i.d.R. ja auch gar nicht wo</w:t>
            </w:r>
            <w:r w:rsidR="009D319F" w:rsidRPr="002F2FAA">
              <w:t>l</w:t>
            </w:r>
            <w:r w:rsidR="009D319F" w:rsidRPr="002F2FAA">
              <w:t xml:space="preserve">len. Das Tempus </w:t>
            </w:r>
            <w:r w:rsidR="00DF086D">
              <w:t xml:space="preserve">von </w:t>
            </w:r>
            <w:r w:rsidR="009D319F" w:rsidRPr="002F2FAA">
              <w:t>λαμβάνοντες richtet sich</w:t>
            </w:r>
            <w:r w:rsidR="00B00C9F" w:rsidRPr="002F2FAA">
              <w:t>, da es Präsens ist,</w:t>
            </w:r>
            <w:r w:rsidR="009D319F" w:rsidRPr="002F2FAA">
              <w:t xml:space="preserve"> nach dem des Hauptsatzes und zeigt Gleichzeitigkeit </w:t>
            </w:r>
            <w:r w:rsidR="00DF086D">
              <w:t>an</w:t>
            </w:r>
            <w:r w:rsidR="009D319F" w:rsidRPr="002F2FAA">
              <w:t xml:space="preserve">, d.h. </w:t>
            </w:r>
            <w:r w:rsidR="00345C2F" w:rsidRPr="002F2FAA">
              <w:t>λαμβάνοντες</w:t>
            </w:r>
            <w:r w:rsidR="009D319F" w:rsidRPr="002F2FAA">
              <w:t xml:space="preserve"> wäre vorzugsweise als deutsches Imperfekt zu übersetzen („sie na</w:t>
            </w:r>
            <w:r w:rsidR="009D319F" w:rsidRPr="002F2FAA">
              <w:t>h</w:t>
            </w:r>
            <w:r w:rsidR="009D319F" w:rsidRPr="002F2FAA">
              <w:t>men“).</w:t>
            </w:r>
          </w:p>
        </w:tc>
      </w:tr>
      <w:tr w:rsidR="00B73332" w:rsidRPr="002F2FAA" w:rsidTr="000562DB">
        <w:tc>
          <w:tcPr>
            <w:tcW w:w="1843" w:type="dxa"/>
          </w:tcPr>
          <w:p w:rsidR="00B73332" w:rsidRPr="002F2FAA" w:rsidRDefault="00B73332" w:rsidP="001459F0">
            <w:r w:rsidRPr="002F2FAA">
              <w:t>1.8 Ἡμεῖς οὖν ὀφείλομεν ἀπολαμβάνειν τοὺς τοιούτους, ἵνα συνεργοὶ γινώμεθα τῇ ἀληθείᾳ.</w:t>
            </w:r>
          </w:p>
          <w:p w:rsidR="00B73332" w:rsidRPr="002F2FAA" w:rsidRDefault="00B73332" w:rsidP="001459F0"/>
        </w:tc>
        <w:tc>
          <w:tcPr>
            <w:tcW w:w="2269" w:type="dxa"/>
          </w:tcPr>
          <w:p w:rsidR="00B73332" w:rsidRPr="002F2FAA" w:rsidRDefault="004F279C" w:rsidP="0097406C">
            <w:r w:rsidRPr="002F2FAA">
              <w:lastRenderedPageBreak/>
              <w:t>Also</w:t>
            </w:r>
            <w:r w:rsidRPr="002F2FAA">
              <w:rPr>
                <w:i/>
                <w:iCs/>
              </w:rPr>
              <w:t xml:space="preserve"> </w:t>
            </w:r>
            <w:r w:rsidRPr="002F2FAA">
              <w:t>sind</w:t>
            </w:r>
            <w:r w:rsidRPr="002F2FAA">
              <w:rPr>
                <w:i/>
                <w:iCs/>
              </w:rPr>
              <w:t xml:space="preserve"> w</w:t>
            </w:r>
            <w:r w:rsidR="00B73332" w:rsidRPr="002F2FAA">
              <w:rPr>
                <w:i/>
                <w:iCs/>
              </w:rPr>
              <w:t>ir</w:t>
            </w:r>
            <w:r w:rsidR="00B73332" w:rsidRPr="002F2FAA">
              <w:t xml:space="preserve"> schuldig, </w:t>
            </w:r>
            <w:r w:rsidR="0097406C">
              <w:t>solche</w:t>
            </w:r>
            <w:r w:rsidR="00B73332" w:rsidRPr="002F2FAA">
              <w:t xml:space="preserve"> aufzunehmen, damit wir Mitarbeiter (an) der Wahrheit werden.</w:t>
            </w:r>
          </w:p>
        </w:tc>
        <w:tc>
          <w:tcPr>
            <w:tcW w:w="6520" w:type="dxa"/>
          </w:tcPr>
          <w:p w:rsidR="00B73332" w:rsidRPr="002F2FAA" w:rsidRDefault="00CE7A71" w:rsidP="00B8670B">
            <w:pPr>
              <w:jc w:val="both"/>
            </w:pPr>
            <w:r w:rsidRPr="002F2FAA">
              <w:t xml:space="preserve">Mit </w:t>
            </w:r>
            <w:r w:rsidR="00F75DEB" w:rsidRPr="002F2FAA">
              <w:t xml:space="preserve">dem Adverb </w:t>
            </w:r>
            <w:r w:rsidRPr="002F2FAA">
              <w:t>οὖν (“also”) zieht Johannes die Folge daraus, dass die Brüder von den Heiden nichts annehmen. Wenn sie von ihnen nichts wollen, dann kann der Bedarf und die Unterbringung nur von anderen Christen gedeckt werden, da sie während der Reisen nicht ihrem Ve</w:t>
            </w:r>
            <w:r w:rsidRPr="002F2FAA">
              <w:t>r</w:t>
            </w:r>
            <w:r w:rsidRPr="002F2FAA">
              <w:t>dienst nachgehen können.</w:t>
            </w:r>
            <w:r w:rsidR="00B73332" w:rsidRPr="002F2FAA">
              <w:t xml:space="preserve"> Ἡμεῖς (“wir”) wird explizit genannt und hebt das Pronomen von denen ab, die die Brüder nicht unterstützten, nämlich die Heiden. </w:t>
            </w:r>
            <w:r w:rsidR="00690620" w:rsidRPr="002F2FAA">
              <w:t xml:space="preserve">Das Demonstrativpronomen τοὺς τοιούτους </w:t>
            </w:r>
            <w:r w:rsidR="00690620" w:rsidRPr="002F2FAA">
              <w:lastRenderedPageBreak/>
              <w:t>(„solche“) steht hier mit dem Artikel und das definiert die, die aufz</w:t>
            </w:r>
            <w:r w:rsidR="00690620" w:rsidRPr="002F2FAA">
              <w:t>u</w:t>
            </w:r>
            <w:r w:rsidR="00690620" w:rsidRPr="002F2FAA">
              <w:t>nehmen sind, als die mit den genannten Kennzeichen, nämlich die für den Namen des Herrn ausgehen und keine Unterstützung annehmen bzw. nicht bekommen.</w:t>
            </w:r>
            <w:r w:rsidR="0097406C">
              <w:t xml:space="preserve"> Man könnte den Artikel so paraphrasieren: „Die</w:t>
            </w:r>
            <w:r w:rsidR="00B8670B">
              <w:t>,</w:t>
            </w:r>
            <w:r w:rsidR="0097406C">
              <w:t xml:space="preserve"> die so sind“.</w:t>
            </w:r>
            <w:r w:rsidR="00690620" w:rsidRPr="002F2FAA">
              <w:t xml:space="preserve"> </w:t>
            </w:r>
            <w:r w:rsidR="002F2FAA" w:rsidRPr="002F2FAA">
              <w:t xml:space="preserve">Von dem Beispiel in den Versen davor ausgehend, zeigt Johannes hier ein allgemeines Prinzip, dass nämlich Brüder mit diesen Kenneichen aufzunehmen sind. </w:t>
            </w:r>
            <w:r w:rsidR="00B73332" w:rsidRPr="002F2FAA">
              <w:t>Das Prädikativ συνεργοὶ  („Mi</w:t>
            </w:r>
            <w:r w:rsidR="00B73332" w:rsidRPr="002F2FAA">
              <w:t>t</w:t>
            </w:r>
            <w:r w:rsidR="00B73332" w:rsidRPr="002F2FAA">
              <w:t>arbeiter“) steht hier nicht wie sonst mit einem Genitivattribut (d.h. nicht wie R</w:t>
            </w:r>
            <w:r w:rsidRPr="002F2FAA">
              <w:t>ö</w:t>
            </w:r>
            <w:r w:rsidR="00B73332" w:rsidRPr="002F2FAA">
              <w:t>mer 16.3 „τοὺς συνεργούς μου“. „Meine Mittarbeiter“.  1Korinther 3.9 „Θεοῦ γάρ ἐσμεν συνεργοί“. „Denn Gottes Mitarbeiter sind wir”), d.h. also nicht, dass es Johannes darum geht, wessen Mi</w:t>
            </w:r>
            <w:r w:rsidR="00B73332" w:rsidRPr="002F2FAA">
              <w:t>t</w:t>
            </w:r>
            <w:r w:rsidR="00B73332" w:rsidRPr="002F2FAA">
              <w:t>arbeiter wir sind (“Mitarbeiter der Wahrheit”), sondern wofür wir mitarbeiten, da τῇ ἀληθείᾳ („für die Wahrheit“) mit dem Dativ ve</w:t>
            </w:r>
            <w:r w:rsidR="00B73332" w:rsidRPr="002F2FAA">
              <w:t>r</w:t>
            </w:r>
            <w:r w:rsidR="00B73332" w:rsidRPr="002F2FAA">
              <w:t xml:space="preserve">wendet wird. Um den Unterscheid deutlich zu machen, bietet sich eine entsprechende Präposition wie „an“ oder „für“ an, da man τῇ ἀληθείᾳ sonst fälschlicherweise für ein Genitivattribut halten </w:t>
            </w:r>
            <w:r w:rsidR="00B8670B">
              <w:t>könnte</w:t>
            </w:r>
            <w:r w:rsidR="00B73332" w:rsidRPr="002F2FAA">
              <w:t>, da „der Wahrheit“ im Deutschen sowohl Genitiv als auch Dativ sein kann und somit eine gewisse Unklarheit vorhanden sein könnte.</w:t>
            </w:r>
            <w:r w:rsidR="004F279C" w:rsidRPr="002F2FAA">
              <w:t xml:space="preserve"> Zum Ausdruck συνεργοὶ γινώμεθα τῇ ἀληθείᾳ („Mitarbeiter (an) der Wahrheit werden“) vgl. </w:t>
            </w:r>
            <w:r w:rsidR="00B8670B">
              <w:t xml:space="preserve">ein Kontrastbeispiel bei </w:t>
            </w:r>
            <w:hyperlink r:id="rId16" w:anchor="doc=tlg&amp;aid=0555&amp;wid=004&amp;q=Stromata&amp;dt=list&amp;st=work_title&amp;per=50" w:history="1">
              <w:r w:rsidR="004F279C" w:rsidRPr="002F2FAA">
                <w:t>Clemens Alexandr</w:t>
              </w:r>
              <w:r w:rsidR="004F279C" w:rsidRPr="002F2FAA">
                <w:t>i</w:t>
              </w:r>
              <w:r w:rsidR="004F279C" w:rsidRPr="002F2FAA">
                <w:t>nus, Stromata</w:t>
              </w:r>
            </w:hyperlink>
            <w:r w:rsidR="004F279C" w:rsidRPr="002F2FAA">
              <w:t xml:space="preserve"> 4.10,77 „ οὗτός ἐστι τὸ ὅσον ἐφ’ ἑαυτῷ ὁ </w:t>
            </w:r>
            <w:r w:rsidR="004F279C" w:rsidRPr="00B8670B">
              <w:rPr>
                <w:u w:val="single"/>
              </w:rPr>
              <w:t>συνεργὸς</w:t>
            </w:r>
            <w:r w:rsidR="004F279C" w:rsidRPr="002F2FAA">
              <w:t xml:space="preserve"> γινόμενος τῇ τοῦ διώκοντος </w:t>
            </w:r>
            <w:r w:rsidR="004F279C" w:rsidRPr="00B8670B">
              <w:rPr>
                <w:u w:val="single"/>
              </w:rPr>
              <w:t>πονηρίᾳ</w:t>
            </w:r>
            <w:r w:rsidR="004F279C" w:rsidRPr="002F2FAA">
              <w:t xml:space="preserve">“. „Dieser ist, soviel es an ihm selbst liegt, der </w:t>
            </w:r>
            <w:r w:rsidR="004F279C" w:rsidRPr="00B8670B">
              <w:rPr>
                <w:u w:val="single"/>
              </w:rPr>
              <w:t>Mitarbeiter</w:t>
            </w:r>
            <w:r w:rsidR="004F279C" w:rsidRPr="002F2FAA">
              <w:t xml:space="preserve"> geworden </w:t>
            </w:r>
            <w:r w:rsidR="004F279C" w:rsidRPr="00B8670B">
              <w:rPr>
                <w:u w:val="single"/>
              </w:rPr>
              <w:t>an der Bosheit</w:t>
            </w:r>
            <w:r w:rsidR="004F279C" w:rsidRPr="002F2FAA">
              <w:t xml:space="preserve"> des Verfolgers“. Damit kann man sagen, dass Gajus und alle die so handeln, an der Verbreitung </w:t>
            </w:r>
            <w:r w:rsidR="004427C8" w:rsidRPr="002F2FAA">
              <w:t>der</w:t>
            </w:r>
            <w:r w:rsidR="004F279C" w:rsidRPr="002F2FAA">
              <w:t xml:space="preserve"> Wahrheit des Wortes Gottes mitwirken.</w:t>
            </w:r>
          </w:p>
        </w:tc>
      </w:tr>
      <w:tr w:rsidR="00B73332" w:rsidRPr="002F2FAA" w:rsidTr="000562DB">
        <w:tc>
          <w:tcPr>
            <w:tcW w:w="1843" w:type="dxa"/>
          </w:tcPr>
          <w:p w:rsidR="004F279C" w:rsidRPr="002F2FAA" w:rsidRDefault="00B73332" w:rsidP="001459F0">
            <w:r w:rsidRPr="002F2FAA">
              <w:lastRenderedPageBreak/>
              <w:t>1.9</w:t>
            </w:r>
            <w:r w:rsidR="004F279C" w:rsidRPr="002F2FAA">
              <w:t xml:space="preserve"> Ἔγραψα τῇ ἐκκλησίᾳ· ἀλλ᾽ ὁ φιλοπρωτεύων αὐτῶν Διοτρεφὴς οὐκ ἐπιδέχεται ἡμᾶς.</w:t>
            </w:r>
          </w:p>
          <w:p w:rsidR="00B73332" w:rsidRPr="002F2FAA" w:rsidRDefault="00B73332" w:rsidP="001459F0"/>
        </w:tc>
        <w:tc>
          <w:tcPr>
            <w:tcW w:w="2269" w:type="dxa"/>
          </w:tcPr>
          <w:p w:rsidR="00B73332" w:rsidRPr="002F2FAA" w:rsidRDefault="00CE7A71" w:rsidP="00345026">
            <w:r w:rsidRPr="002F2FAA">
              <w:t>Ich schrieb der Ve</w:t>
            </w:r>
            <w:r w:rsidRPr="002F2FAA">
              <w:t>r</w:t>
            </w:r>
            <w:r w:rsidRPr="002F2FAA">
              <w:t xml:space="preserve">sammlung, aber </w:t>
            </w:r>
            <w:bookmarkStart w:id="5" w:name="OLE_LINK1"/>
            <w:bookmarkStart w:id="6" w:name="OLE_LINK2"/>
            <w:bookmarkStart w:id="7" w:name="OLE_LINK3"/>
            <w:r w:rsidRPr="002F2FAA">
              <w:t>D</w:t>
            </w:r>
            <w:r w:rsidRPr="002F2FAA">
              <w:t>i</w:t>
            </w:r>
            <w:r w:rsidRPr="002F2FAA">
              <w:t>otrephes</w:t>
            </w:r>
            <w:bookmarkEnd w:id="5"/>
            <w:bookmarkEnd w:id="6"/>
            <w:bookmarkEnd w:id="7"/>
            <w:r w:rsidRPr="002F2FAA">
              <w:t xml:space="preserve">, der unter ihnen </w:t>
            </w:r>
            <w:r w:rsidR="00345026" w:rsidRPr="002F2FAA">
              <w:t>den Vorrang liebt</w:t>
            </w:r>
            <w:r w:rsidRPr="002F2FAA">
              <w:t>, nimmt uns nicht an.</w:t>
            </w:r>
          </w:p>
        </w:tc>
        <w:tc>
          <w:tcPr>
            <w:tcW w:w="6520" w:type="dxa"/>
          </w:tcPr>
          <w:p w:rsidR="00B73332" w:rsidRPr="002F2FAA" w:rsidRDefault="00F75DEB" w:rsidP="00B8670B">
            <w:pPr>
              <w:jc w:val="both"/>
            </w:pPr>
            <w:r w:rsidRPr="002F2FAA">
              <w:t>Diotrephes</w:t>
            </w:r>
            <w:r w:rsidR="00345026" w:rsidRPr="002F2FAA">
              <w:t xml:space="preserve"> </w:t>
            </w:r>
            <w:r w:rsidR="00B73332" w:rsidRPr="002F2FAA">
              <w:t xml:space="preserve">bedeutet den Bestandteilen nach </w:t>
            </w:r>
            <w:r w:rsidR="00345026" w:rsidRPr="002F2FAA">
              <w:t xml:space="preserve">(Διο-τρεφής) </w:t>
            </w:r>
            <w:r w:rsidR="00B73332" w:rsidRPr="002F2FAA">
              <w:t xml:space="preserve">„von Gott genährt“, vgl. den Bezug zu der Aussage in Lukas 12.24 „ὁ θεὸς </w:t>
            </w:r>
            <w:r w:rsidR="00B73332" w:rsidRPr="00345C2F">
              <w:rPr>
                <w:u w:val="single"/>
              </w:rPr>
              <w:t>τρέφει</w:t>
            </w:r>
            <w:r w:rsidR="00B73332" w:rsidRPr="002F2FAA">
              <w:t xml:space="preserve"> αὐτούς“. „Gott </w:t>
            </w:r>
            <w:r w:rsidR="00B73332" w:rsidRPr="00345C2F">
              <w:rPr>
                <w:u w:val="single"/>
              </w:rPr>
              <w:t>ernährt</w:t>
            </w:r>
            <w:r w:rsidR="00B73332" w:rsidRPr="002F2FAA">
              <w:t xml:space="preserve"> sie (Anm.: die Raben)</w:t>
            </w:r>
            <w:r w:rsidR="002F2FAA" w:rsidRPr="002F2FAA">
              <w:t>“</w:t>
            </w:r>
            <w:r w:rsidR="00B73332" w:rsidRPr="002F2FAA">
              <w:t>. Natürlich ernährt Gott nicht nur Vögel, sondern auch uns Menschen und nach diesem G</w:t>
            </w:r>
            <w:r w:rsidR="00B73332" w:rsidRPr="002F2FAA">
              <w:t>e</w:t>
            </w:r>
            <w:r w:rsidR="00B73332" w:rsidRPr="002F2FAA">
              <w:t>danken wurde der Name gegeben, also der „Gottgenährte“.</w:t>
            </w:r>
            <w:r w:rsidR="00CF031C" w:rsidRPr="002F2FAA">
              <w:t xml:space="preserve"> </w:t>
            </w:r>
            <w:r w:rsidR="00345026" w:rsidRPr="002F2FAA">
              <w:t xml:space="preserve">Johannes bildet hier ein Ad-hoc Kompositum, das vor ihm noch keiner </w:t>
            </w:r>
            <w:r w:rsidR="00B8670B">
              <w:t>entw</w:t>
            </w:r>
            <w:r w:rsidR="00B8670B">
              <w:t>i</w:t>
            </w:r>
            <w:r w:rsidR="00B8670B">
              <w:t>ckelt</w:t>
            </w:r>
            <w:r w:rsidR="00345026" w:rsidRPr="002F2FAA">
              <w:t xml:space="preserve"> hat, indem er aus φιλέω (“lieben“, „gern haben“) und πρωτεύω („den Vorrang haben“) ein neues Wort kreiert („den Vorrang lieben“ „lieben, der Erste zu sein“). Das Wort πρωτεύω ist im Neuen Test</w:t>
            </w:r>
            <w:r w:rsidR="00345026" w:rsidRPr="002F2FAA">
              <w:t>a</w:t>
            </w:r>
            <w:r w:rsidR="00345026" w:rsidRPr="002F2FAA">
              <w:t>ment allein in Kolosser 1.18 gebraucht: „Und er ist das Haupt des Le</w:t>
            </w:r>
            <w:r w:rsidR="00345026" w:rsidRPr="002F2FAA">
              <w:t>i</w:t>
            </w:r>
            <w:r w:rsidR="00345026" w:rsidRPr="002F2FAA">
              <w:t xml:space="preserve">bes, der Versammlung, welcher der Anfang ist, der Erstgeborene aus den Toten, auf dass er in allem </w:t>
            </w:r>
            <w:r w:rsidR="00345026" w:rsidRPr="00345C2F">
              <w:rPr>
                <w:u w:val="single"/>
              </w:rPr>
              <w:t>den Vorrang habe</w:t>
            </w:r>
            <w:r w:rsidR="00345026" w:rsidRPr="002F2FAA">
              <w:t xml:space="preserve"> („πρωτεύων“). D</w:t>
            </w:r>
            <w:r w:rsidR="00345026" w:rsidRPr="002F2FAA">
              <w:t>a</w:t>
            </w:r>
            <w:r w:rsidR="00345026" w:rsidRPr="002F2FAA">
              <w:t>mit wird das Problem bei Diotrephes deutlich, da er mit seiner Ha</w:t>
            </w:r>
            <w:r w:rsidR="00345026" w:rsidRPr="002F2FAA">
              <w:t>l</w:t>
            </w:r>
            <w:r w:rsidR="00345026" w:rsidRPr="002F2FAA">
              <w:t>tung Christus den Rang streitig macht, denn wenn Christus den Vo</w:t>
            </w:r>
            <w:r w:rsidR="00345026" w:rsidRPr="002F2FAA">
              <w:t>r</w:t>
            </w:r>
            <w:r w:rsidR="00345026" w:rsidRPr="002F2FAA">
              <w:t>rang in allem hat, kann es keinen Platz für andere geben, auch wenn sie es gerne hätte</w:t>
            </w:r>
            <w:r w:rsidR="004427C8" w:rsidRPr="002F2FAA">
              <w:t>n</w:t>
            </w:r>
            <w:r w:rsidR="00345026" w:rsidRPr="002F2FAA">
              <w:t xml:space="preserve"> wie Diotrephes. Wir sehen hier den Hinweis auf Klerikalismus und Erhebungen von Personen und wenig später kam es im Zuge des Abfalls von Gottes Wort zur Unterscheidung von Klerikern und Laien. Dies widerspricht dem Grundsatz „ihr alle seid Brüder“ (Matthäus 23.8), denn unter Brüdern gibt es keine Rangordnung oder bestimmende Größen, etwa indem Personen zu einem besonderen Rang eingesetzt oder bestimmt werden. Diotrephes hat leider viele Nachahmer gefunden, auch wenn sich der Herr Jesus dazu nicht b</w:t>
            </w:r>
            <w:r w:rsidR="00345026" w:rsidRPr="002F2FAA">
              <w:t>e</w:t>
            </w:r>
            <w:r w:rsidR="00345026" w:rsidRPr="002F2FAA">
              <w:t>kennt, da der erst</w:t>
            </w:r>
            <w:r w:rsidR="00B8670B">
              <w:t>e</w:t>
            </w:r>
            <w:r w:rsidR="00345026" w:rsidRPr="002F2FAA">
              <w:t xml:space="preserve"> Platz ihm und niemand sonst gebührt. Wie es zu dieser Haltung kam, scheint Johannes anzudeuten: Wenn Diotrephes die Briefe des Johannes erhalten hatte, aber Johannes sagen muss, dass er „uns“ nicht annimmt, scheint er zum Ausdruck zu bringen, dass wer seine Briefe ablehnt, auch ihn ablehnt, wobei mit dem Pe</w:t>
            </w:r>
            <w:r w:rsidR="00345026" w:rsidRPr="002F2FAA">
              <w:t>r</w:t>
            </w:r>
            <w:r w:rsidR="00345026" w:rsidRPr="002F2FAA">
              <w:t xml:space="preserve">sonalpronomen ἡμᾶς („uns“) Bezug auf die Apostel nehmen könnte. </w:t>
            </w:r>
            <w:r w:rsidR="00B00C9F" w:rsidRPr="002F2FAA">
              <w:lastRenderedPageBreak/>
              <w:t>Das Verb ἐπιδέχομαι (“annehmen”, “empfangen”) kommt nur in di</w:t>
            </w:r>
            <w:r w:rsidR="00B00C9F" w:rsidRPr="002F2FAA">
              <w:t>e</w:t>
            </w:r>
            <w:r w:rsidR="00B00C9F" w:rsidRPr="002F2FAA">
              <w:t xml:space="preserve">sem und dem nächsten Vers in Gottes Wort vor: Erst wird Johannes und mit ihm die anderen Aposteln nicht an-, sondern abgewiesen, dann die von Gott gesandten Brüder ebenfalls. Ein positiver Kontrast dazu unter Verwendung genau dieses Wortes und eines ähnlichen Kontexts findet man in 1Makkabäer 6.60: „καὶ ἤρεσεν ὁ λόγος ἐναντίον τοῦ βασιλέως καὶ τῶν ἀρχόντων καὶ ἀπέστειλεν πρὸς αὐτοὺς εἰρηνεῦσαι καὶ </w:t>
            </w:r>
            <w:r w:rsidR="00B00C9F" w:rsidRPr="002F2FAA">
              <w:rPr>
                <w:u w:val="single"/>
              </w:rPr>
              <w:t>ἐπεδέξαντο</w:t>
            </w:r>
            <w:r w:rsidR="00B00C9F" w:rsidRPr="002F2FAA">
              <w:t xml:space="preserve">“. „Der Rat fand die Billigung des Königs und der Offiziere, und er sandte (Boten) zu ihnen, um ihnen Frieden anzubieten, und </w:t>
            </w:r>
            <w:r w:rsidR="00B00C9F" w:rsidRPr="002F2FAA">
              <w:rPr>
                <w:u w:val="single"/>
              </w:rPr>
              <w:t>sie nahmen an“</w:t>
            </w:r>
            <w:r w:rsidR="00B00C9F" w:rsidRPr="002F2FAA">
              <w:t>. Wenn Gott seine Boten se</w:t>
            </w:r>
            <w:r w:rsidR="00B00C9F" w:rsidRPr="002F2FAA">
              <w:t>n</w:t>
            </w:r>
            <w:r w:rsidR="00B00C9F" w:rsidRPr="002F2FAA">
              <w:t xml:space="preserve">det, sollten die angenommen und aufgenommen werden. </w:t>
            </w:r>
            <w:r w:rsidR="00345026" w:rsidRPr="002F2FAA">
              <w:t>So ist es mit Gottes Wort, wer dieses ablehnt, lehnt auch den Autor, nämlich den, der Johannes inspiriert hat ab, Gott, den Heiligen Geist</w:t>
            </w:r>
            <w:r w:rsidR="00345C2F">
              <w:t>, ab</w:t>
            </w:r>
            <w:r w:rsidR="00345026" w:rsidRPr="002F2FAA">
              <w:t>. Und da Gottes Wort den Vorrang Christus einräumt, ist es nicht anders mö</w:t>
            </w:r>
            <w:r w:rsidR="00345026" w:rsidRPr="002F2FAA">
              <w:t>g</w:t>
            </w:r>
            <w:r w:rsidR="00345026" w:rsidRPr="002F2FAA">
              <w:t>lich, als Gottes Wort abzulehnen, wenn man die Stelle des Herrn Jesus einnehmen will.</w:t>
            </w:r>
          </w:p>
        </w:tc>
      </w:tr>
      <w:tr w:rsidR="00B73332" w:rsidRPr="002F2FAA" w:rsidTr="000562DB">
        <w:tc>
          <w:tcPr>
            <w:tcW w:w="1843" w:type="dxa"/>
          </w:tcPr>
          <w:p w:rsidR="00B73332" w:rsidRPr="002F2FAA" w:rsidRDefault="00B73332" w:rsidP="001459F0">
            <w:r w:rsidRPr="002F2FAA">
              <w:lastRenderedPageBreak/>
              <w:t>1.10</w:t>
            </w:r>
            <w:r w:rsidR="004F279C" w:rsidRPr="002F2FAA">
              <w:t xml:space="preserve"> Διὰ τοῦτο, ἐὰν ἔλθω, ὑπομνήσω αὐτοῦ τὰ ἔργα ἃ ποιεῖ, λόγοις πονηροῖς φλυαρῶν ἡμᾶς· καὶ μὴ ἀρκούμενος ἐπὶ τούτοις, οὔτε αὐτὸς ἐπιδέχεται τοὺς ἀδελφούς, καὶ τοὺς βουλομένους κωλύει, καὶ ἐκ τῆς ἐκκλησίας ἐκβάλλει.</w:t>
            </w:r>
          </w:p>
        </w:tc>
        <w:tc>
          <w:tcPr>
            <w:tcW w:w="2269" w:type="dxa"/>
          </w:tcPr>
          <w:p w:rsidR="00B73332" w:rsidRPr="002F2FAA" w:rsidRDefault="00977459" w:rsidP="00B00C9F">
            <w:r w:rsidRPr="002F2FAA">
              <w:t xml:space="preserve">Daher, wenn ich komme, werde ich an seine Werke erinnern, die er tut, indem er </w:t>
            </w:r>
            <w:r w:rsidR="00262B96" w:rsidRPr="002F2FAA">
              <w:t xml:space="preserve">uns </w:t>
            </w:r>
            <w:r w:rsidRPr="002F2FAA">
              <w:t>mit bösen Worten</w:t>
            </w:r>
            <w:r w:rsidR="006E2739" w:rsidRPr="002F2FAA">
              <w:t xml:space="preserve"> </w:t>
            </w:r>
            <w:r w:rsidR="00262B96" w:rsidRPr="002F2FAA">
              <w:t>verspottet.</w:t>
            </w:r>
            <w:r w:rsidR="006E2739" w:rsidRPr="002F2FAA">
              <w:t xml:space="preserve"> </w:t>
            </w:r>
            <w:r w:rsidR="00BA0024" w:rsidRPr="002F2FAA">
              <w:t xml:space="preserve">Und da er </w:t>
            </w:r>
            <w:r w:rsidR="00A7670C" w:rsidRPr="002F2FAA">
              <w:t xml:space="preserve">sich </w:t>
            </w:r>
            <w:r w:rsidR="00D80E53" w:rsidRPr="002F2FAA">
              <w:t>mit diesen (Di</w:t>
            </w:r>
            <w:r w:rsidR="00D80E53" w:rsidRPr="002F2FAA">
              <w:t>n</w:t>
            </w:r>
            <w:r w:rsidR="00D80E53" w:rsidRPr="002F2FAA">
              <w:t xml:space="preserve">gen) nicht </w:t>
            </w:r>
            <w:r w:rsidR="00A7670C" w:rsidRPr="002F2FAA">
              <w:t>begnügt</w:t>
            </w:r>
            <w:r w:rsidR="00D80E53" w:rsidRPr="002F2FAA">
              <w:t xml:space="preserve">, </w:t>
            </w:r>
            <w:r w:rsidR="00B00C9F" w:rsidRPr="002F2FAA">
              <w:t>nimmt</w:t>
            </w:r>
            <w:r w:rsidR="00A7670C" w:rsidRPr="002F2FAA">
              <w:t xml:space="preserve"> er</w:t>
            </w:r>
            <w:r w:rsidR="00795E55" w:rsidRPr="002F2FAA">
              <w:t xml:space="preserve"> selbst auch </w:t>
            </w:r>
            <w:r w:rsidR="00A7670C" w:rsidRPr="002F2FAA">
              <w:t>die Brüder nicht</w:t>
            </w:r>
            <w:r w:rsidR="00B00C9F" w:rsidRPr="002F2FAA">
              <w:t xml:space="preserve"> an</w:t>
            </w:r>
            <w:r w:rsidR="00A7670C" w:rsidRPr="002F2FAA">
              <w:t>. Und die (es) wollen</w:t>
            </w:r>
            <w:r w:rsidR="00E6757D">
              <w:t>,</w:t>
            </w:r>
            <w:r w:rsidR="00795E55" w:rsidRPr="002F2FAA">
              <w:t xml:space="preserve"> hindert er und</w:t>
            </w:r>
            <w:r w:rsidR="00A7670C" w:rsidRPr="002F2FAA">
              <w:t xml:space="preserve"> stößt</w:t>
            </w:r>
            <w:r w:rsidR="00795E55" w:rsidRPr="002F2FAA">
              <w:t xml:space="preserve"> sie </w:t>
            </w:r>
            <w:r w:rsidR="00A7670C" w:rsidRPr="002F2FAA">
              <w:t>aus der Versam</w:t>
            </w:r>
            <w:r w:rsidR="00A7670C" w:rsidRPr="002F2FAA">
              <w:t>m</w:t>
            </w:r>
            <w:r w:rsidR="00A7670C" w:rsidRPr="002F2FAA">
              <w:t>lung hinaus.</w:t>
            </w:r>
          </w:p>
        </w:tc>
        <w:tc>
          <w:tcPr>
            <w:tcW w:w="6520" w:type="dxa"/>
          </w:tcPr>
          <w:p w:rsidR="00B73332" w:rsidRPr="002F2FAA" w:rsidRDefault="00146DAB" w:rsidP="00B8670B">
            <w:r w:rsidRPr="002F2FAA">
              <w:t>Διὰ τοῦτο („daher“) greift auf das Gesagte zurück und das Verhalten von Diotrephes ist der Grund, warum Johannes handeln und die Sache öffentlich ansprechen und die Dinge beim Namen nennen</w:t>
            </w:r>
            <w:r w:rsidR="00B8670B">
              <w:t xml:space="preserve"> muss</w:t>
            </w:r>
            <w:r w:rsidRPr="002F2FAA">
              <w:t>. J</w:t>
            </w:r>
            <w:r w:rsidRPr="002F2FAA">
              <w:t>o</w:t>
            </w:r>
            <w:r w:rsidRPr="002F2FAA">
              <w:t>hannes zeigt damit keine Neutralität gegenüber dem Bösen, sondern verurteilt es. Dies wird auch von Christen und den Zusammenkünften erwartet, denn sonst kann man nicht zum Namen des Herrn versa</w:t>
            </w:r>
            <w:r w:rsidRPr="002F2FAA">
              <w:t>m</w:t>
            </w:r>
            <w:r w:rsidRPr="002F2FAA">
              <w:t>melt sein. Offenbar war die Versammlung bereits geschwächt und Gott in seiner Gnade sendet Johanne dorthin, der mit dem Futur ὑπομνήσω („ich werde erinnern“) den festen Entschluss deutlich macht, die Sache anzugehen, da offenbar die Dinge nicht bereinigt werden konnten. Diese Art der apostolischen Autorität als die einer einzelnen Person mit überörtlicher Entscheidungs- und Handlung</w:t>
            </w:r>
            <w:r w:rsidRPr="002F2FAA">
              <w:t>s</w:t>
            </w:r>
            <w:r w:rsidRPr="002F2FAA">
              <w:t>vollmacht gibt es heute nicht, da die Versammlungen diese erhalten haben und nach Matthäus 18 diese Fälle angehen. Das Böse muss also entsprechend behandelt und verurteilt und gerichtet werden. Im We</w:t>
            </w:r>
            <w:r w:rsidRPr="002F2FAA">
              <w:t>i</w:t>
            </w:r>
            <w:r w:rsidRPr="002F2FAA">
              <w:t>teren ergänzt Johannes weitere negative und böse Dinge, die zu dem kommen, was er im Vers davor bereit</w:t>
            </w:r>
            <w:r w:rsidR="00345C2F">
              <w:t>s</w:t>
            </w:r>
            <w:r w:rsidRPr="002F2FAA">
              <w:t xml:space="preserve"> zu nennen hatte. </w:t>
            </w:r>
            <w:r w:rsidR="001F446C" w:rsidRPr="002F2FAA">
              <w:t>Das Verb φλυαρέω wird hier mit einem Objekt ἡμᾶς („uns“) gebraucht</w:t>
            </w:r>
            <w:r w:rsidR="00262B96" w:rsidRPr="002F2FAA">
              <w:t>, ist also auf jemand, nämlich Johannes und wohl die anderen Apostel gezielt</w:t>
            </w:r>
            <w:r w:rsidR="001F446C" w:rsidRPr="002F2FAA">
              <w:t xml:space="preserve"> (transitiv)</w:t>
            </w:r>
            <w:r w:rsidR="00262B96" w:rsidRPr="002F2FAA">
              <w:t>, daher bietet sich „verspotten“ an</w:t>
            </w:r>
            <w:r w:rsidR="001F446C" w:rsidRPr="002F2FAA">
              <w:t xml:space="preserve">. Das Nomen φλυαρία </w:t>
            </w:r>
            <w:r w:rsidR="00262B96" w:rsidRPr="002F2FAA">
              <w:t xml:space="preserve">(„Spott“, „Witz“, „Unsinn“) </w:t>
            </w:r>
            <w:r w:rsidR="001F446C" w:rsidRPr="002F2FAA">
              <w:t xml:space="preserve">erscheint z.B. bei </w:t>
            </w:r>
            <w:hyperlink r:id="rId17" w:anchor="doc=tlg&amp;aid=0059&amp;wid=042&amp;q=Respublica&amp;dt=list&amp;st=work_title&amp;per=50" w:history="1">
              <w:r w:rsidR="00977459" w:rsidRPr="002F2FAA">
                <w:t>Plato</w:t>
              </w:r>
            </w:hyperlink>
            <w:r w:rsidR="00977459" w:rsidRPr="002F2FAA">
              <w:t xml:space="preserve">, Res Publica, 1.336,c: „Τίς […] ὑμᾶς πάλαι </w:t>
            </w:r>
            <w:r w:rsidR="00977459" w:rsidRPr="002F2FAA">
              <w:rPr>
                <w:u w:val="single"/>
              </w:rPr>
              <w:t>φλυαρία</w:t>
            </w:r>
            <w:r w:rsidR="00977459" w:rsidRPr="002F2FAA">
              <w:t xml:space="preserve"> ἔχει“. „Was </w:t>
            </w:r>
            <w:r w:rsidR="00977459" w:rsidRPr="002F2FAA">
              <w:rPr>
                <w:u w:val="single"/>
              </w:rPr>
              <w:t>treibt</w:t>
            </w:r>
            <w:r w:rsidR="00977459" w:rsidRPr="002F2FAA">
              <w:t xml:space="preserve"> ihr </w:t>
            </w:r>
            <w:r w:rsidR="001F446C" w:rsidRPr="002F2FAA">
              <w:t xml:space="preserve">lange Zeit </w:t>
            </w:r>
            <w:r w:rsidR="00977459" w:rsidRPr="002F2FAA">
              <w:t xml:space="preserve">für einen </w:t>
            </w:r>
            <w:r w:rsidR="00977459" w:rsidRPr="002F2FAA">
              <w:rPr>
                <w:u w:val="single"/>
              </w:rPr>
              <w:t>Unsinn</w:t>
            </w:r>
            <w:r w:rsidR="001F446C" w:rsidRPr="002F2FAA">
              <w:t>?“.</w:t>
            </w:r>
            <w:r w:rsidR="006E2739" w:rsidRPr="002F2FAA">
              <w:t xml:space="preserve"> Oder mit einem Beispiel, wie sich die Handlung zeigt  (Flavius Josephus, Josephi Vita, 150.3): „πυθόμενος δὲ περὶ τούτων ἐγὼ πάλιν τὸν δῆμον ἀνεδίδασκον μὴ δεῖν διώκεσθαι τοὺς καταφυγόντας πρὸς αὐτούς τὸν δὲ </w:t>
            </w:r>
            <w:r w:rsidR="006E2739" w:rsidRPr="002F2FAA">
              <w:rPr>
                <w:u w:val="single"/>
              </w:rPr>
              <w:t>φλύαρον</w:t>
            </w:r>
            <w:r w:rsidR="006E2739" w:rsidRPr="002F2FAA">
              <w:t xml:space="preserve"> τῆς περὶ τῶν φαρμάκων αἰτίας διέσυρον οὐκ ἂν τοσαύτας μυριάδας στρατιωτῶν Ῥωμαίους λέγων τρέφειν εἰ διὰ φαρμάκων ἦν νικᾶν τοὺς πολεμίους“. „Aber als ich darüber informiert wurde, wies ich die Menge erneut an, dass diejenigen, die bei ihnen zum Unterschlupf flohen, nicht verfolgt we</w:t>
            </w:r>
            <w:r w:rsidR="006E2739" w:rsidRPr="002F2FAA">
              <w:t>r</w:t>
            </w:r>
            <w:r w:rsidR="006E2739" w:rsidRPr="002F2FAA">
              <w:t xml:space="preserve">den sollten. </w:t>
            </w:r>
            <w:r w:rsidR="006E2739" w:rsidRPr="002F2FAA">
              <w:rPr>
                <w:u w:val="single"/>
              </w:rPr>
              <w:t>Ich machte mich</w:t>
            </w:r>
            <w:r w:rsidR="006E2739" w:rsidRPr="002F2FAA">
              <w:t xml:space="preserve"> auch über die Behauptung über Hexerei </w:t>
            </w:r>
            <w:r w:rsidR="006E2739" w:rsidRPr="002F2FAA">
              <w:rPr>
                <w:u w:val="single"/>
              </w:rPr>
              <w:t>lustig</w:t>
            </w:r>
            <w:r w:rsidR="006E2739" w:rsidRPr="002F2FAA">
              <w:t xml:space="preserve"> und sagte ihnen, dass die Römer nicht so viele Zehntausende von Soldaten versorgen würden, wenn sie ihre Feinde durch Zauberer überwinden könnten“.</w:t>
            </w:r>
            <w:r w:rsidR="00262B96" w:rsidRPr="002F2FAA">
              <w:t xml:space="preserve"> Wie man sieht, machte der Sprecher Witze über die Behauptung, dass Hexerei im Spiele sei, da die Römer ja g</w:t>
            </w:r>
            <w:r w:rsidR="00262B96" w:rsidRPr="002F2FAA">
              <w:t>e</w:t>
            </w:r>
            <w:r w:rsidR="00262B96" w:rsidRPr="002F2FAA">
              <w:t xml:space="preserve">nau Soldaten benötigten, also ohne übernatürliche Dinge, kämpfen mussten. Das angewandt könnte zur Vermutung Anlass geben, dass Diotrephes sich über die Apostel und ihre Lehren lustig machte und </w:t>
            </w:r>
            <w:r w:rsidR="00262B96" w:rsidRPr="002F2FAA">
              <w:lastRenderedPageBreak/>
              <w:t>dabei böse Worte gebrauchte.</w:t>
            </w:r>
            <w:r w:rsidR="00BA0024" w:rsidRPr="002F2FAA">
              <w:t xml:space="preserve"> </w:t>
            </w:r>
            <w:r w:rsidR="00D80E53" w:rsidRPr="002F2FAA">
              <w:t>Philo weist in De confusione linguarum 1.75 ein Parallel</w:t>
            </w:r>
            <w:r w:rsidR="00B00C9F" w:rsidRPr="002F2FAA">
              <w:t>e</w:t>
            </w:r>
            <w:r w:rsidR="00D80E53" w:rsidRPr="002F2FAA">
              <w:t xml:space="preserve"> auf, die helfen kann ἀρκέω mit  ἐπί </w:t>
            </w:r>
            <w:r w:rsidR="00B00C9F" w:rsidRPr="002F2FAA">
              <w:t>(„begnügen mit“)</w:t>
            </w:r>
            <w:r w:rsidR="00D80E53" w:rsidRPr="002F2FAA">
              <w:t xml:space="preserve"> zu verstehen, auch wenn sie inhaltlich seltsam erscheint, da Paulus schreibt, dass schlechter Umgang gute Sitten negativ beei</w:t>
            </w:r>
            <w:r w:rsidR="00D80E53" w:rsidRPr="002F2FAA">
              <w:t>n</w:t>
            </w:r>
            <w:r w:rsidR="00D80E53" w:rsidRPr="002F2FAA">
              <w:t xml:space="preserve">flusst:  </w:t>
            </w:r>
            <w:r w:rsidR="00BA0024" w:rsidRPr="002F2FAA">
              <w:t xml:space="preserve">„τῷ γὰρ ὄντι πᾶς ἄφρων οὐ παρ᾽ ἑτέρου λαμβάνει ἑαυτῷ τὰ δὲ κακὰ ζητῶν ἀνευρίσκει, </w:t>
            </w:r>
            <w:r w:rsidR="00BA0024" w:rsidRPr="002F2FAA">
              <w:rPr>
                <w:u w:val="single"/>
              </w:rPr>
              <w:t>μὴ μόνοις ἀρκούμενος τούτοις</w:t>
            </w:r>
            <w:r w:rsidR="00BA0024" w:rsidRPr="002F2FAA">
              <w:t xml:space="preserve"> ἐφ᾽ ἅπερ ἡ μοχθηρὰ φύσις δι᾽ ἑαυτῆς βαδίζει, ἀλλὰ καὶ προστιθεὶς τὰ ἐκ τοῦ κακοτεχνεῖν τέλεια γυμνάσματα“.</w:t>
            </w:r>
            <w:r w:rsidR="00D80E53" w:rsidRPr="002F2FAA">
              <w:t xml:space="preserve"> </w:t>
            </w:r>
            <w:r w:rsidR="00BA0024" w:rsidRPr="002F2FAA">
              <w:t xml:space="preserve"> „</w:t>
            </w:r>
            <w:r w:rsidR="00A7670C" w:rsidRPr="002F2FAA">
              <w:t>Denn in der Tat nimmt jeder U</w:t>
            </w:r>
            <w:r w:rsidR="00A7670C" w:rsidRPr="002F2FAA">
              <w:t>n</w:t>
            </w:r>
            <w:r w:rsidR="00A7670C" w:rsidRPr="002F2FAA">
              <w:t xml:space="preserve">vernünftige die Laster nicht von einem anderen an, sondern sucht sie sich selbst heraus und macht sie ausfindig, </w:t>
            </w:r>
            <w:r w:rsidR="00A7670C" w:rsidRPr="002F2FAA">
              <w:rPr>
                <w:u w:val="single"/>
              </w:rPr>
              <w:t>da er sich mit diesen Di</w:t>
            </w:r>
            <w:r w:rsidR="00A7670C" w:rsidRPr="002F2FAA">
              <w:rPr>
                <w:u w:val="single"/>
              </w:rPr>
              <w:t>n</w:t>
            </w:r>
            <w:r w:rsidR="00A7670C" w:rsidRPr="002F2FAA">
              <w:rPr>
                <w:u w:val="single"/>
              </w:rPr>
              <w:t>gen allein nicht begnügt</w:t>
            </w:r>
            <w:r w:rsidR="00A7670C" w:rsidRPr="002F2FAA">
              <w:t>, denen sich seine elende Natur von selbst zuwendet, sondern, indem er auch die ausgereiften Ausübungen au</w:t>
            </w:r>
            <w:r w:rsidR="00A7670C" w:rsidRPr="002F2FAA">
              <w:t>f</w:t>
            </w:r>
            <w:r w:rsidR="00A7670C" w:rsidRPr="002F2FAA">
              <w:t>grund der Anwendung schlechter Künste hinzufügt</w:t>
            </w:r>
            <w:r w:rsidR="00D80E53" w:rsidRPr="002F2FAA">
              <w:t>“.</w:t>
            </w:r>
            <w:r w:rsidR="00A7670C" w:rsidRPr="002F2FAA">
              <w:t xml:space="preserve"> Philo will damit zum Ausdruck bringen, dass ein dummer Mensch systematisch danach trachtet nicht nur das, was in ihm bereits an Bösen vorhanden ist zu verwirklichen, sondern ohne es von andere zu übernehmen, selbst danach trachtet mit verschiedenen Mitteln andere böse Dinge dem, was eh schon in ihm vorhanden ist, zu erweitern, da ihm diese Dinge nicht genug sind. So ist es auch bei Diotrephe</w:t>
            </w:r>
            <w:r w:rsidR="00795E55" w:rsidRPr="002F2FAA">
              <w:t>s</w:t>
            </w:r>
            <w:r w:rsidR="00A7670C" w:rsidRPr="002F2FAA">
              <w:t>: Das bisher getane Böse erscheint ihm unzureichend und nicht genügend, nämlich, was er gegen Johannes und die übrigen Aposteln unternommen hat, so</w:t>
            </w:r>
            <w:r w:rsidR="00A7670C" w:rsidRPr="002F2FAA">
              <w:t>n</w:t>
            </w:r>
            <w:r w:rsidR="00A7670C" w:rsidRPr="002F2FAA">
              <w:t>dern er ergänzt diese bösen Dinge noch darin, indem er die von Gott gesandten Brüder nic</w:t>
            </w:r>
            <w:r w:rsidR="00795E55" w:rsidRPr="002F2FAA">
              <w:t>ht annimmt, sondern abweist. Mit αὐτὸς („selbst“) wird, indem das Subjekt Diotrephes hervorgehoben wird, betont, dass er dies nicht nur selber nicht tut und will, sondern, dass auch andere gehindert werden und sanktioniert werden, die die Br</w:t>
            </w:r>
            <w:r w:rsidR="00795E55" w:rsidRPr="002F2FAA">
              <w:t>ü</w:t>
            </w:r>
            <w:r w:rsidR="00795E55" w:rsidRPr="002F2FAA">
              <w:t>der empfangen wollten. Offenbar ist das Motiv, dass Diotrephes alle</w:t>
            </w:r>
            <w:r w:rsidR="00795E55" w:rsidRPr="002F2FAA">
              <w:t>i</w:t>
            </w:r>
            <w:r w:rsidR="00795E55" w:rsidRPr="002F2FAA">
              <w:t>ne im Mittelpunkt stehen will</w:t>
            </w:r>
            <w:r w:rsidR="00345C2F">
              <w:t>,</w:t>
            </w:r>
            <w:r w:rsidR="00795E55" w:rsidRPr="002F2FAA">
              <w:t xml:space="preserve"> und dazu passt es nicht, wenn andere ebenfalls Dienste tun. Sein Einfluss war so weit, dass er als Einzelpe</w:t>
            </w:r>
            <w:r w:rsidR="00795E55" w:rsidRPr="002F2FAA">
              <w:t>r</w:t>
            </w:r>
            <w:r w:rsidR="00795E55" w:rsidRPr="002F2FAA">
              <w:t>son, Personen aufnehmen und abweisen konnte, obwohl dies nur die Versammlung insgesamt und nie eine einzelne Person entscheidet (vgl. 1. und 2. Korinther über die Aufnahme und den Ausschluss von Personen). Damit zeigt Johannes schon in seinen Tagen das später noch verschlimmerte Phänomen des Kler</w:t>
            </w:r>
            <w:r w:rsidR="00B00C9F" w:rsidRPr="002F2FAA">
              <w:t>i</w:t>
            </w:r>
            <w:r w:rsidR="00795E55" w:rsidRPr="002F2FAA">
              <w:t>kalismus an, bei dem b</w:t>
            </w:r>
            <w:r w:rsidR="00795E55" w:rsidRPr="002F2FAA">
              <w:t>e</w:t>
            </w:r>
            <w:r w:rsidR="00795E55" w:rsidRPr="002F2FAA">
              <w:t>stimmte Personen sich, mit oder ohne Zustimmung anderer, einen exponierten Platz verschaffen und nicht mehr anerkennen, dass es keine Hierarchie unter Brüdern gibt, egal, wer welche Dienste tut, und, was schlimmer ist, Christus der erste Rang abgesprochen wird. Leider ist der Geist von Diotrephes bis in unseren Tagen zu bemerken, wenn Personen in der Christenheit sogar mit Ernennungen zu einer Stellung („Pastor“, „Ältester“, „Priester“, „Kardinal“, „Bischof“ um einige falsche Titel und Ernennungen anzuführen, die nicht dadurch legitimiert werden können, dass aus Aufgaben wie die von älteren Brüdern oder Hirtendienste eine Amtsbezeichnung erfolgen könnte. Dies ist sicher der Geist von Diotrephes und somit gegen Gott und sein Wort gerichtet) gebracht werden, die nur der Herr Jesus innehat, nämlich der Erste und alleinige zu sein, der die Autorität hat. Ve</w:t>
            </w:r>
            <w:r w:rsidR="00795E55" w:rsidRPr="002F2FAA">
              <w:t>r</w:t>
            </w:r>
            <w:r w:rsidR="00795E55" w:rsidRPr="002F2FAA">
              <w:t xml:space="preserve">schlimmert wird die Situation bereits bei Diotrephes, dass er damit und dabei auch die </w:t>
            </w:r>
            <w:r w:rsidR="00B00C9F" w:rsidRPr="002F2FAA">
              <w:t>a</w:t>
            </w:r>
            <w:r w:rsidR="00795E55" w:rsidRPr="002F2FAA">
              <w:t>postolische Autorität bestreitet, also die von Christus auch an Johannes übertragene Vollmacht, die Lehre und Pr</w:t>
            </w:r>
            <w:r w:rsidR="00795E55" w:rsidRPr="002F2FAA">
              <w:t>a</w:t>
            </w:r>
            <w:r w:rsidR="00795E55" w:rsidRPr="002F2FAA">
              <w:t xml:space="preserve">xis der Versammlungen zu bestimmen. </w:t>
            </w:r>
            <w:r w:rsidR="00B24B17" w:rsidRPr="002F2FAA">
              <w:t xml:space="preserve">Der ernste Vorwurf ist also, dass Diotrephes, wenn Gott seine Boten sendet, er diese abweist und die sie aufnehmen wollen, daran hindert und diese gutwilligen Brüder aus der Versammlung hinaustut. </w:t>
            </w:r>
          </w:p>
        </w:tc>
      </w:tr>
      <w:tr w:rsidR="00B73332" w:rsidRPr="002F2FAA" w:rsidTr="000562DB">
        <w:tc>
          <w:tcPr>
            <w:tcW w:w="1843" w:type="dxa"/>
          </w:tcPr>
          <w:p w:rsidR="00B73332" w:rsidRPr="002F2FAA" w:rsidRDefault="00B73332" w:rsidP="001459F0">
            <w:r w:rsidRPr="002F2FAA">
              <w:lastRenderedPageBreak/>
              <w:t>1.11</w:t>
            </w:r>
            <w:r w:rsidR="004F279C" w:rsidRPr="002F2FAA">
              <w:t xml:space="preserve"> Ἀγαπητέ, μὴ μιμοῦ τὸ κακόν, ἀλλὰ τὸ ἀγαθόν. Ὁ ἀγαθοποιῶν ἐκ τοῦ θεοῦ ἐστίν· ὁ κακοποιῶν οὐχ ἑώρακεν τὸν θεόν.</w:t>
            </w:r>
          </w:p>
        </w:tc>
        <w:tc>
          <w:tcPr>
            <w:tcW w:w="2269" w:type="dxa"/>
          </w:tcPr>
          <w:p w:rsidR="00B73332" w:rsidRPr="002F2FAA" w:rsidRDefault="00B24B17" w:rsidP="001459F0">
            <w:r w:rsidRPr="002F2FAA">
              <w:t>Geliebter, ahme nicht das Böse nach, so</w:t>
            </w:r>
            <w:r w:rsidRPr="002F2FAA">
              <w:t>n</w:t>
            </w:r>
            <w:r w:rsidRPr="002F2FAA">
              <w:t xml:space="preserve">dern das Gute. Wer Gutes tut, ist aus Gott. Wer Böses tut, hat Gott nicht gesehen. </w:t>
            </w:r>
          </w:p>
        </w:tc>
        <w:tc>
          <w:tcPr>
            <w:tcW w:w="6520" w:type="dxa"/>
          </w:tcPr>
          <w:p w:rsidR="00B73332" w:rsidRPr="002F2FAA" w:rsidRDefault="00B24B17" w:rsidP="00B24B17">
            <w:pPr>
              <w:jc w:val="both"/>
            </w:pPr>
            <w:r w:rsidRPr="002F2FAA">
              <w:t>Im Gegensatz zu 1Johannes 4.20 und 5.16 oder in Vers 14 in diesem Brief geht es bei der Semantik von ὁράω (“sehen“) hier nicht um das optische Sehen, sondern um die innere Erkenntnis und Einsicht, wobei eine geistige „Einsicht“ im Deutschen ja damit zusammenhängt. Wer Böses tut, hat also Gott im Herzen nicht erkannt. Niemand hat oder kann Gott sehen, wie es Johannes unter Verwendung dieses Verbs in Johannes 1.18 deutlich macht. Mit dieser Unterscheidung wird ein Grundsatz aufgegriffen, dass man den Glauben oder den Unglauben an den Handlungen ablesen kann. Ob Diotrephes tatsächlich nicht erlöst ist und dennoch im Raum der Versammlung agiert oder Christ ist und wie ein Ungläubiger handelt, wird die Ewigkeit zeigen. Una</w:t>
            </w:r>
            <w:r w:rsidRPr="002F2FAA">
              <w:t>b</w:t>
            </w:r>
            <w:r w:rsidRPr="002F2FAA">
              <w:t>hängig davon, bleibt der Grundsatz dieses Verses bestehen und selbst wenn Diotrephes ein Kind Gottes gewesen war, dann handelt er de</w:t>
            </w:r>
            <w:r w:rsidRPr="002F2FAA">
              <w:t>n</w:t>
            </w:r>
            <w:r w:rsidRPr="002F2FAA">
              <w:t>noch satanisch, wie nach ihm der Klerikalismus bis zum heutigen Tag.</w:t>
            </w:r>
          </w:p>
        </w:tc>
      </w:tr>
      <w:tr w:rsidR="00B73332" w:rsidRPr="002F2FAA" w:rsidTr="003F35E4">
        <w:tc>
          <w:tcPr>
            <w:tcW w:w="1843" w:type="dxa"/>
          </w:tcPr>
          <w:p w:rsidR="00B73332" w:rsidRPr="002F2FAA" w:rsidRDefault="00B73332" w:rsidP="001459F0">
            <w:r w:rsidRPr="002F2FAA">
              <w:t>1.12</w:t>
            </w:r>
            <w:r w:rsidR="004F279C" w:rsidRPr="002F2FAA">
              <w:t xml:space="preserve"> Δημητρίῳ μεμαρτύρηται ὑπὸ πάντων, καὶ ὑπ᾽ αὐτῆς τῆς ἀληθείας· καὶ ἡμεῖς δὲ μαρτυροῦμεν, καὶ οἴδατε ὅτι ἡ μαρτυρία ἡμῶν ἀληθής ἐστιν.</w:t>
            </w:r>
          </w:p>
        </w:tc>
        <w:tc>
          <w:tcPr>
            <w:tcW w:w="2269" w:type="dxa"/>
          </w:tcPr>
          <w:p w:rsidR="00B73332" w:rsidRPr="002F2FAA" w:rsidRDefault="00003F37" w:rsidP="00345C2F">
            <w:r w:rsidRPr="002F2FAA">
              <w:t>Demetrius wird von allen das Zeugnis g</w:t>
            </w:r>
            <w:r w:rsidRPr="002F2FAA">
              <w:t>e</w:t>
            </w:r>
            <w:r w:rsidRPr="002F2FAA">
              <w:t xml:space="preserve">geben und </w:t>
            </w:r>
            <w:r w:rsidR="006B7197">
              <w:t xml:space="preserve">(auch) </w:t>
            </w:r>
            <w:r w:rsidRPr="002F2FAA">
              <w:t>von der Wahrheit selbst. Und auch wir geben Zeugnis</w:t>
            </w:r>
            <w:r w:rsidR="001459F0" w:rsidRPr="002F2FAA">
              <w:t>. Und ihr wisst, dass unser Zeugnis wahr ist.</w:t>
            </w:r>
          </w:p>
        </w:tc>
        <w:tc>
          <w:tcPr>
            <w:tcW w:w="6520" w:type="dxa"/>
            <w:tcBorders>
              <w:bottom w:val="single" w:sz="4" w:space="0" w:color="auto"/>
            </w:tcBorders>
          </w:tcPr>
          <w:p w:rsidR="00B73332" w:rsidRPr="002F2FAA" w:rsidRDefault="00B24B17" w:rsidP="006B7197">
            <w:pPr>
              <w:jc w:val="both"/>
            </w:pPr>
            <w:r w:rsidRPr="002F2FAA">
              <w:t xml:space="preserve">Nun schwenkt Johannes vom abschreckenden Beispiel des Diotrephes zu einem vorbildlichen Verhalten, das man nachahmen soll, während, wie der Vers davor noch sagte, das </w:t>
            </w:r>
            <w:r w:rsidR="002F2FAA">
              <w:t>N</w:t>
            </w:r>
            <w:r w:rsidRPr="002F2FAA">
              <w:t>egative nicht imitiert und nac</w:t>
            </w:r>
            <w:r w:rsidRPr="002F2FAA">
              <w:t>h</w:t>
            </w:r>
            <w:r w:rsidRPr="002F2FAA">
              <w:t>gemacht werden soll. Zur Nachahmung empfiehlt Johannes das Ve</w:t>
            </w:r>
            <w:r w:rsidRPr="002F2FAA">
              <w:t>r</w:t>
            </w:r>
            <w:r w:rsidRPr="002F2FAA">
              <w:t xml:space="preserve">halten von Demetrius. </w:t>
            </w:r>
            <w:r w:rsidR="001B488A" w:rsidRPr="002F2FAA">
              <w:t>Δημήτριος  (“Demetrius“) heißt „Der Demeter geweiht/gehörig“ und kann ein Hinweis sein, dass die Eltern des Br</w:t>
            </w:r>
            <w:r w:rsidR="001B488A" w:rsidRPr="002F2FAA">
              <w:t>u</w:t>
            </w:r>
            <w:r w:rsidR="001B488A" w:rsidRPr="002F2FAA">
              <w:t>ders, die ihm diesen heidnischen Namen gaben, selbst keine Christen waren (zumindest bis zur Namensgebung), sodass er wohl nicht aus christlichem Elternhaus stammte.</w:t>
            </w:r>
            <w:r w:rsidR="001459F0" w:rsidRPr="002F2FAA">
              <w:t xml:space="preserve"> Die eigentlich abstrakte Wahrheit wird hier personifiziert.</w:t>
            </w:r>
            <w:r w:rsidRPr="002F2FAA">
              <w:t xml:space="preserve"> Dem</w:t>
            </w:r>
            <w:r w:rsidR="00A3425B" w:rsidRPr="002F2FAA">
              <w:t>e</w:t>
            </w:r>
            <w:r w:rsidRPr="002F2FAA">
              <w:t xml:space="preserve">trius wurde durch den Herrn Jesus von der Lüge des Götzendienstes befreit und Johannes kann ihm nun ein gutes Zeugnis ausstellen. Worin das Zeugnis besteht, und ob es gut oder schlecht ist, ist zunächst offen. Aber </w:t>
            </w:r>
            <w:r w:rsidR="00146DAB" w:rsidRPr="002F2FAA">
              <w:t>Johannes und alle, die Demetrius kennen und sogar die die Wahrheit selbst würden aber sicher kein schlechtes Zeugnis ausstellen. Somit ist klar, dass Demetr</w:t>
            </w:r>
            <w:r w:rsidR="00146DAB" w:rsidRPr="002F2FAA">
              <w:t>i</w:t>
            </w:r>
            <w:r w:rsidR="00146DAB" w:rsidRPr="002F2FAA">
              <w:t>us zur Aufnahme empfohlen wird.</w:t>
            </w:r>
            <w:r w:rsidR="006B7197">
              <w:t xml:space="preserve"> Der Agens bzw. die Personifizierung der Wahrheit wird mit </w:t>
            </w:r>
            <w:r w:rsidR="006B7197" w:rsidRPr="002F2FAA">
              <w:t>αὐτῆς</w:t>
            </w:r>
            <w:r w:rsidR="006B7197">
              <w:t xml:space="preserve"> („selbst“) betont und von allen anderen Möglichkeiten abgehoben: Niemand anderes als die Wahrheit selbst geben dem Demetrius das Zeugnis.</w:t>
            </w:r>
          </w:p>
        </w:tc>
      </w:tr>
      <w:tr w:rsidR="00B73332" w:rsidRPr="002F2FAA" w:rsidTr="003F35E4">
        <w:tc>
          <w:tcPr>
            <w:tcW w:w="1843" w:type="dxa"/>
          </w:tcPr>
          <w:p w:rsidR="00B73332" w:rsidRPr="002F2FAA" w:rsidRDefault="00B73332" w:rsidP="001459F0">
            <w:r w:rsidRPr="002F2FAA">
              <w:t>1.13</w:t>
            </w:r>
            <w:r w:rsidR="004F279C" w:rsidRPr="002F2FAA">
              <w:t xml:space="preserve"> Πολλὰ εἶχον γράφειν, ἀλλ᾽ οὐ θέλω διὰ μέλανος καὶ καλάμου σοι γράψαι·</w:t>
            </w:r>
          </w:p>
        </w:tc>
        <w:tc>
          <w:tcPr>
            <w:tcW w:w="2269" w:type="dxa"/>
          </w:tcPr>
          <w:p w:rsidR="00B73332" w:rsidRPr="002F2FAA" w:rsidRDefault="00D33419" w:rsidP="0039672B">
            <w:r w:rsidRPr="002F2FAA">
              <w:t xml:space="preserve">Ich </w:t>
            </w:r>
            <w:r w:rsidR="0064174C">
              <w:t>hatte</w:t>
            </w:r>
            <w:r w:rsidRPr="002F2FAA">
              <w:t xml:space="preserve"> v</w:t>
            </w:r>
            <w:r w:rsidR="002F75F4" w:rsidRPr="002F2FAA">
              <w:t xml:space="preserve">ieles </w:t>
            </w:r>
            <w:r w:rsidRPr="002F2FAA">
              <w:t xml:space="preserve"> zu schreiben</w:t>
            </w:r>
            <w:r w:rsidR="002F75F4" w:rsidRPr="002F2FAA">
              <w:t xml:space="preserve">, aber ich will nicht mit Tinte und </w:t>
            </w:r>
            <w:r w:rsidR="0039672B">
              <w:t>Schreibrohr</w:t>
            </w:r>
            <w:r w:rsidR="002F75F4" w:rsidRPr="002F2FAA">
              <w:t xml:space="preserve"> </w:t>
            </w:r>
            <w:r w:rsidR="0039672B">
              <w:t xml:space="preserve">dir </w:t>
            </w:r>
            <w:r w:rsidR="002F75F4" w:rsidRPr="002F2FAA">
              <w:t>schre</w:t>
            </w:r>
            <w:r w:rsidR="002F75F4" w:rsidRPr="002F2FAA">
              <w:t>i</w:t>
            </w:r>
            <w:r w:rsidR="002F75F4" w:rsidRPr="002F2FAA">
              <w:t>ben.</w:t>
            </w:r>
          </w:p>
        </w:tc>
        <w:tc>
          <w:tcPr>
            <w:tcW w:w="6520" w:type="dxa"/>
            <w:tcBorders>
              <w:bottom w:val="nil"/>
            </w:tcBorders>
          </w:tcPr>
          <w:p w:rsidR="00B73332" w:rsidRPr="00CC5FF5" w:rsidRDefault="00146DAB" w:rsidP="0039672B">
            <w:pPr>
              <w:jc w:val="both"/>
            </w:pPr>
            <w:r w:rsidRPr="002F2FAA">
              <w:t>Mit dem Vers 13 leitet Johannes den Schluss seines Briefes ein.</w:t>
            </w:r>
            <w:r w:rsidR="002F75F4" w:rsidRPr="002F2FAA">
              <w:t xml:space="preserve"> A</w:t>
            </w:r>
            <w:r w:rsidR="002F75F4" w:rsidRPr="002F2FAA">
              <w:t>n</w:t>
            </w:r>
            <w:r w:rsidR="002F75F4" w:rsidRPr="002F2FAA">
              <w:t xml:space="preserve">ders als im zweiten Brief gebraucht hier Johannes mit εἶχον </w:t>
            </w:r>
            <w:r w:rsidR="0064174C">
              <w:t>(„ich ha</w:t>
            </w:r>
            <w:r w:rsidR="0064174C">
              <w:t>t</w:t>
            </w:r>
            <w:r w:rsidR="0064174C">
              <w:t xml:space="preserve">te“) </w:t>
            </w:r>
            <w:r w:rsidR="002F75F4" w:rsidRPr="002F2FAA">
              <w:t xml:space="preserve">ein Imperfekt, an das ein Infinitiv Präsens angeschlossen ist. Dies ist auch in Apostelgeschichte 4.14 der Fall: „οὐδὲν </w:t>
            </w:r>
            <w:r w:rsidR="002F75F4" w:rsidRPr="00CC5FF5">
              <w:t>εἶχον</w:t>
            </w:r>
            <w:r w:rsidR="002F75F4" w:rsidRPr="002F2FAA">
              <w:t xml:space="preserve"> ἀντειπεῖν“. „sie </w:t>
            </w:r>
            <w:r w:rsidR="002F75F4" w:rsidRPr="00CC5FF5">
              <w:t>hatten</w:t>
            </w:r>
            <w:r w:rsidR="002F75F4" w:rsidRPr="002F2FAA">
              <w:t xml:space="preserve"> nichts dagegen zu sagen“. Vgl. auch Judith 7.21: “καὶ οἱ λάκκοι ἐξεκενοῦντο καὶ </w:t>
            </w:r>
            <w:r w:rsidR="002F75F4" w:rsidRPr="00CC5FF5">
              <w:t>οὐκ εἶχον πιεῖν“</w:t>
            </w:r>
            <w:r w:rsidR="002F75F4" w:rsidRPr="002F2FAA">
              <w:t xml:space="preserve">. „Und die Zisternen wurden leer, und </w:t>
            </w:r>
            <w:r w:rsidR="002F75F4" w:rsidRPr="00CC5FF5">
              <w:t>sie hatten nichts zu trinken</w:t>
            </w:r>
            <w:r w:rsidR="002F75F4" w:rsidRPr="002F2FAA">
              <w:t>“. Somit blickt Johannes auf den Beginn des Schreibens zurück und obwohl er viel zu schreiben</w:t>
            </w:r>
            <w:r w:rsidR="00D33419" w:rsidRPr="002F2FAA">
              <w:t xml:space="preserve"> bzw. mitzuteilen</w:t>
            </w:r>
            <w:r w:rsidR="002F75F4" w:rsidRPr="002F2FAA">
              <w:t xml:space="preserve"> hatte</w:t>
            </w:r>
            <w:r w:rsidR="0064174C">
              <w:t xml:space="preserve"> und hat</w:t>
            </w:r>
            <w:r w:rsidR="002F75F4" w:rsidRPr="002F2FAA">
              <w:t xml:space="preserve">, hofft er doch, das mündlich zu tun. Mit der Verwendung von γράφειν ("schreiben") verwendet der Apostel eine sog. Metonymie, d.h. es geht ihm nicht um das Schreiben als Tätigkeit, sondern um den Inhalt, somit steht das Schreiben für die Mitteilung (Concretum pro Abstracto, d.h. das konkrete Schreiben mit Papier und Tinte </w:t>
            </w:r>
            <w:r w:rsidR="0064174C">
              <w:t>steht</w:t>
            </w:r>
            <w:r w:rsidR="002F75F4" w:rsidRPr="002F2FAA">
              <w:t xml:space="preserve"> für die Übermittlung der Inhalte, die Johannes übermitteln will, diese sind abstrakt, d.h. </w:t>
            </w:r>
            <w:r w:rsidR="0064174C">
              <w:t>nicht mit der Hand greifbar</w:t>
            </w:r>
            <w:r w:rsidR="002F75F4" w:rsidRPr="002F2FAA">
              <w:t>).</w:t>
            </w:r>
            <w:r w:rsidR="0064174C">
              <w:t xml:space="preserve"> Eine parall</w:t>
            </w:r>
            <w:r w:rsidR="0064174C">
              <w:t>e</w:t>
            </w:r>
            <w:r w:rsidR="0064174C">
              <w:t xml:space="preserve">le Struktur und vergleichbarer Inhalt ist </w:t>
            </w:r>
            <w:r w:rsidR="00345C2F">
              <w:t xml:space="preserve">bei </w:t>
            </w:r>
            <w:hyperlink r:id="rId18" w:anchor="doc=tlg&amp;aid=3373&amp;wid=001&amp;q=Orationes%20in%20honorem%20Georgii%20Xiphilini&amp;dt=list&amp;st=work_title&amp;per=50" w:history="1">
              <w:r w:rsidR="00345C2F" w:rsidRPr="00345C2F">
                <w:t xml:space="preserve">Georgius </w:t>
              </w:r>
              <w:r w:rsidR="00345C2F">
                <w:t xml:space="preserve">Tornices, </w:t>
              </w:r>
              <w:r w:rsidR="00345C2F" w:rsidRPr="00345C2F">
                <w:t xml:space="preserve"> Orat</w:t>
              </w:r>
              <w:r w:rsidR="00345C2F" w:rsidRPr="00345C2F">
                <w:t>i</w:t>
              </w:r>
              <w:r w:rsidR="00345C2F" w:rsidRPr="00345C2F">
                <w:t>ones in honorem Georgii Xiphilini</w:t>
              </w:r>
              <w:r w:rsidR="00004832">
                <w:t>:</w:t>
              </w:r>
            </w:hyperlink>
            <w:r w:rsidR="0064174C" w:rsidRPr="0064174C">
              <w:t xml:space="preserve"> „Ἔτι πολλὰ εἶχον λέγειν περὶ τοῦ ἐμοῦ ἀρχιποίμενος, ἀλλ’ ὑμῶν ἕνεκεν ἤδη   παύσομαι</w:t>
            </w:r>
            <w:r w:rsidR="0064174C">
              <w:t xml:space="preserve">“. „Noch </w:t>
            </w:r>
            <w:r w:rsidR="0064174C" w:rsidRPr="00CC5FF5">
              <w:t>vieles habe</w:t>
            </w:r>
            <w:r w:rsidR="0064174C">
              <w:t xml:space="preserve"> ich über meinen Oberhirten </w:t>
            </w:r>
            <w:r w:rsidR="0064174C" w:rsidRPr="00CC5FF5">
              <w:t>zu sagen</w:t>
            </w:r>
            <w:r w:rsidR="0064174C">
              <w:t xml:space="preserve">, aber wegen euch werde ich schon aufhören“. Hier wie bei Johannes liegt kein Irrealis vor, da kein </w:t>
            </w:r>
            <w:r w:rsidR="0064174C" w:rsidRPr="00CC5FF5">
              <w:t xml:space="preserve">Nebensatz mit der Partikel ἂν die Aussage als irreal anzeigen </w:t>
            </w:r>
            <w:r w:rsidR="0064174C" w:rsidRPr="00CC5FF5">
              <w:lastRenderedPageBreak/>
              <w:t>würde.</w:t>
            </w:r>
            <w:r w:rsidR="00C14162" w:rsidRPr="00CC5FF5">
              <w:t xml:space="preserve"> Ein Beispiel eines Irrealis der Gegenwart</w:t>
            </w:r>
            <w:r w:rsidR="003F35E4" w:rsidRPr="00CC5FF5">
              <w:t xml:space="preserve"> also</w:t>
            </w:r>
            <w:r w:rsidR="00C14162" w:rsidRPr="00CC5FF5">
              <w:t>, der zeigt, was der Autor sagen würde, wenn er nicht schweigen würde. Das in ähnl</w:t>
            </w:r>
            <w:r w:rsidR="00C14162" w:rsidRPr="00CC5FF5">
              <w:t>i</w:t>
            </w:r>
            <w:r w:rsidR="00C14162" w:rsidRPr="00CC5FF5">
              <w:t xml:space="preserve">chem Kontext wäre bei </w:t>
            </w:r>
            <w:hyperlink r:id="rId19" w:anchor="doc=tlg&amp;aid=2062&amp;q=JOANNES%20CHRYSOSTOMUS&amp;dt=list&amp;st=author_text&amp;per=50" w:history="1">
              <w:r w:rsidR="00C14162" w:rsidRPr="00CC5FF5">
                <w:t>Joannes Chrysostomus</w:t>
              </w:r>
            </w:hyperlink>
            <w:r w:rsidR="00C14162" w:rsidRPr="00CC5FF5">
              <w:t xml:space="preserve">, </w:t>
            </w:r>
            <w:hyperlink r:id="rId20" w:anchor="doc=tlg&amp;aid=2062&amp;wid=168&amp;q=JOANNES%20CHRYSOSTOMUS&amp;dt=list&amp;st=all&amp;per=50" w:tooltip="J.-P. Migne, Patrologiae cursus completus (series Graeca) (MPG) 63, Paris: Migne, 1857-1866: 9-236." w:history="1">
              <w:r w:rsidR="00C14162" w:rsidRPr="00CC5FF5">
                <w:t>In epistulam ad Hebraeos (homiliae 1-34)</w:t>
              </w:r>
            </w:hyperlink>
            <w:r w:rsidR="00C14162" w:rsidRPr="00CC5FF5">
              <w:t>, 63.222,46 zu finden:</w:t>
            </w:r>
            <w:r w:rsidR="00CC5FF5" w:rsidRPr="00CC5FF5">
              <w:t xml:space="preserve">  </w:t>
            </w:r>
            <w:r w:rsidR="00C14162" w:rsidRPr="00CC5FF5">
              <w:t>„</w:t>
            </w:r>
            <w:r w:rsidR="00C14162" w:rsidRPr="00C14162">
              <w:t>καὶ</w:t>
            </w:r>
            <w:r w:rsidR="00345C2F">
              <w:t xml:space="preserve"> </w:t>
            </w:r>
            <w:r w:rsidR="00C14162" w:rsidRPr="00C14162">
              <w:t>σιγῶ,</w:t>
            </w:r>
            <w:r w:rsidR="00CC5FF5">
              <w:t xml:space="preserve"> </w:t>
            </w:r>
            <w:r w:rsidR="00C14162" w:rsidRPr="00C14162">
              <w:t xml:space="preserve">ἵνα </w:t>
            </w:r>
            <w:r w:rsidR="00C14162" w:rsidRPr="00C14162">
              <w:br/>
              <w:t xml:space="preserve">μὴ λυπήσω τοὺς ἀπεστερημένους· ἐπεὶ </w:t>
            </w:r>
            <w:r w:rsidR="00C14162" w:rsidRPr="00CC5FF5">
              <w:t>εἶπον ἂν</w:t>
            </w:r>
            <w:r w:rsidR="00C14162" w:rsidRPr="00C14162">
              <w:t xml:space="preserve"> ὀνο- </w:t>
            </w:r>
            <w:r w:rsidR="00C14162" w:rsidRPr="00C14162">
              <w:br/>
              <w:t xml:space="preserve">μαστὶ καί τινας ἐξ αὐτῶν, καὶ πολλὰ εἶχον διηγήματα </w:t>
            </w:r>
            <w:r w:rsidR="00C14162" w:rsidRPr="00C14162">
              <w:br/>
              <w:t xml:space="preserve">εἰπεῖν, καὶ πολλὰς ὑποδεῖξαι οἰκίας ὑμῖν, αἳ κυρίους </w:t>
            </w:r>
            <w:r w:rsidR="00C14162" w:rsidRPr="00C14162">
              <w:br/>
              <w:t>ἔλαβον τοὺς ἐχθροὺς τῶν περὶ αὐτὰς πονησάντων</w:t>
            </w:r>
            <w:r w:rsidR="00C14162">
              <w:t>“. „Doch</w:t>
            </w:r>
            <w:r w:rsidR="00C14162" w:rsidRPr="00C14162">
              <w:t xml:space="preserve"> ich schweige, </w:t>
            </w:r>
            <w:r w:rsidR="00C14162">
              <w:t>damit ich d</w:t>
            </w:r>
            <w:r w:rsidR="00C14162" w:rsidRPr="00C14162">
              <w:t xml:space="preserve">ie, welche beraubt worden sind, nicht  betrübe, da ich </w:t>
            </w:r>
            <w:r w:rsidR="00C14162">
              <w:t>m</w:t>
            </w:r>
            <w:r w:rsidR="00C14162" w:rsidRPr="00C14162">
              <w:t xml:space="preserve">anche </w:t>
            </w:r>
            <w:r w:rsidR="00C14162">
              <w:t xml:space="preserve">dem Namen nach </w:t>
            </w:r>
            <w:r w:rsidR="00C14162" w:rsidRPr="00CC5FF5">
              <w:t>nennen</w:t>
            </w:r>
            <w:r w:rsidR="00C14162" w:rsidRPr="00C14162">
              <w:t xml:space="preserve"> und viele </w:t>
            </w:r>
            <w:r w:rsidR="00C14162">
              <w:t xml:space="preserve">Aussagen </w:t>
            </w:r>
            <w:r w:rsidR="00C14162" w:rsidRPr="00C14162">
              <w:t xml:space="preserve"> </w:t>
            </w:r>
            <w:r w:rsidR="00C14162" w:rsidRPr="00CC5FF5">
              <w:t>machen würde</w:t>
            </w:r>
            <w:r w:rsidR="00C14162">
              <w:t xml:space="preserve"> </w:t>
            </w:r>
            <w:r w:rsidR="00C14162" w:rsidRPr="00C14162">
              <w:t xml:space="preserve">und euch zahlreiche Häuser zeigen </w:t>
            </w:r>
            <w:r w:rsidR="00C14162">
              <w:t>würde</w:t>
            </w:r>
            <w:r w:rsidR="00C14162" w:rsidRPr="00C14162">
              <w:t xml:space="preserve">, die </w:t>
            </w:r>
            <w:r w:rsidR="00C14162">
              <w:t>s</w:t>
            </w:r>
            <w:r w:rsidR="00C14162" w:rsidRPr="00C14162">
              <w:t xml:space="preserve">olche </w:t>
            </w:r>
            <w:r w:rsidR="00C14162">
              <w:t>als Besi</w:t>
            </w:r>
            <w:r w:rsidR="00C14162">
              <w:t>t</w:t>
            </w:r>
            <w:r w:rsidR="00C14162">
              <w:t>zer e</w:t>
            </w:r>
            <w:r w:rsidR="00C14162" w:rsidRPr="00C14162">
              <w:t xml:space="preserve">rhielten, welche Feinde </w:t>
            </w:r>
            <w:r w:rsidR="00C14162">
              <w:t>d</w:t>
            </w:r>
            <w:r w:rsidR="00C14162" w:rsidRPr="00C14162">
              <w:t xml:space="preserve">erer waren, die sich um </w:t>
            </w:r>
            <w:r w:rsidR="00C14162">
              <w:t xml:space="preserve">diese </w:t>
            </w:r>
            <w:r w:rsidR="00C14162" w:rsidRPr="00C14162">
              <w:t>ge</w:t>
            </w:r>
            <w:r w:rsidR="00C14162">
              <w:t>plagt hatten“</w:t>
            </w:r>
            <w:r w:rsidR="00C14162" w:rsidRPr="00C14162">
              <w:t>.</w:t>
            </w:r>
            <w:r w:rsidR="00C14162" w:rsidRPr="00CC5FF5">
              <w:t xml:space="preserve"> </w:t>
            </w:r>
            <w:r w:rsidR="0064174C" w:rsidRPr="00CC5FF5">
              <w:t xml:space="preserve"> </w:t>
            </w:r>
            <w:r w:rsidR="00C14162" w:rsidRPr="00CC5FF5">
              <w:t xml:space="preserve">Der Irrealis bei o.g. Autor ist an der Partikel ἂν zu sehen, die bei Johannes hier fehlt. </w:t>
            </w:r>
            <w:r w:rsidR="0064174C" w:rsidRPr="00CC5FF5">
              <w:t>Somit hat Johannes tatsächlich noch viele Dinge mitzuteilen und will dies nicht weiter schriftlich, sondern mün</w:t>
            </w:r>
            <w:r w:rsidR="0064174C" w:rsidRPr="00CC5FF5">
              <w:t>d</w:t>
            </w:r>
            <w:r w:rsidR="0064174C" w:rsidRPr="00CC5FF5">
              <w:t>lich tun.</w:t>
            </w:r>
            <w:r w:rsidR="0039672B">
              <w:t xml:space="preserve"> Mit </w:t>
            </w:r>
            <w:r w:rsidR="0039672B" w:rsidRPr="002F2FAA">
              <w:t>καλάμο</w:t>
            </w:r>
            <w:r w:rsidR="0039672B">
              <w:t>s („Schreibrohr“) wird ein vorne zugespitztes Schreibwerkzeug beschrieben, das aus Schilf oder anderen Rohr ang</w:t>
            </w:r>
            <w:r w:rsidR="0039672B">
              <w:t>e</w:t>
            </w:r>
            <w:r w:rsidR="0039672B">
              <w:t>fertigt wurde.</w:t>
            </w:r>
          </w:p>
        </w:tc>
      </w:tr>
      <w:tr w:rsidR="00B73332" w:rsidRPr="002F2FAA" w:rsidTr="003F35E4">
        <w:tc>
          <w:tcPr>
            <w:tcW w:w="1843" w:type="dxa"/>
          </w:tcPr>
          <w:p w:rsidR="00B73332" w:rsidRPr="002F2FAA" w:rsidRDefault="00B73332" w:rsidP="001459F0">
            <w:r w:rsidRPr="002F2FAA">
              <w:lastRenderedPageBreak/>
              <w:t>1.14</w:t>
            </w:r>
            <w:r w:rsidR="004F279C" w:rsidRPr="002F2FAA">
              <w:t xml:space="preserve"> ἐλπίζω δὲ εὐθέως ἰδεῖν σε, καὶ στόμα πρὸς στόμα λαλήσομεν. Εἰρήνη σοι. Ἀσπάζονταί σε οἱ φίλοι. Ἀσπάζου τοὺς φίλους κατ᾽ ὄνομα.</w:t>
            </w:r>
          </w:p>
        </w:tc>
        <w:tc>
          <w:tcPr>
            <w:tcW w:w="2269" w:type="dxa"/>
          </w:tcPr>
          <w:p w:rsidR="00B73332" w:rsidRPr="002F2FAA" w:rsidRDefault="00F51899" w:rsidP="00C14162">
            <w:r w:rsidRPr="002F2FAA">
              <w:t xml:space="preserve">Ich hoffe </w:t>
            </w:r>
            <w:r w:rsidR="00C14162">
              <w:t>nun</w:t>
            </w:r>
            <w:r w:rsidRPr="002F2FAA">
              <w:t xml:space="preserve">, dich bald zu sehen und wir werden (von) Mund zu Mund reden. Friede dir! Es grüßen dich die Freunde. Grüße die Freunde dem Namen nach. </w:t>
            </w:r>
          </w:p>
        </w:tc>
        <w:tc>
          <w:tcPr>
            <w:tcW w:w="6520" w:type="dxa"/>
            <w:tcBorders>
              <w:top w:val="nil"/>
            </w:tcBorders>
          </w:tcPr>
          <w:p w:rsidR="00B73332" w:rsidRPr="002F2FAA" w:rsidRDefault="00B428C8" w:rsidP="003F35E4">
            <w:pPr>
              <w:jc w:val="both"/>
            </w:pPr>
            <w:r>
              <w:t>Die</w:t>
            </w:r>
            <w:r w:rsidR="00362A55">
              <w:t xml:space="preserve"> Konjunktion </w:t>
            </w:r>
            <w:r w:rsidR="00362A55" w:rsidRPr="002F2FAA">
              <w:t xml:space="preserve">δὲ </w:t>
            </w:r>
            <w:r w:rsidR="00362A55">
              <w:rPr>
                <w:lang w:val="de-CH"/>
              </w:rPr>
              <w:t>(„nun“) ist nicht adversativ („aber“), da kein G</w:t>
            </w:r>
            <w:r w:rsidR="00362A55">
              <w:rPr>
                <w:lang w:val="de-CH"/>
              </w:rPr>
              <w:t>e</w:t>
            </w:r>
            <w:r w:rsidR="00362A55">
              <w:rPr>
                <w:lang w:val="de-CH"/>
              </w:rPr>
              <w:t xml:space="preserve">gensatz im Raum steht. </w:t>
            </w:r>
            <w:r w:rsidR="00F51899" w:rsidRPr="002F2FAA">
              <w:t xml:space="preserve">Das Idiom στόμα πρὸς στόμα λαλῆσαι ("von Mund zu Mund reden") kommt in der griechischen Literatur nicht vor, sondern vor Johannes nur bei Jeremia 32.4  "καὶ Σεδεκιας οὐ μὴ σωθῇ ἐκ χειρὸς τῶν Χαλδαίων, ὅτι παραδόσει παραδοθήσεται εἰς χεῖρας βασιλέως Βαβυλῶνος, </w:t>
            </w:r>
            <w:r w:rsidR="00F51899" w:rsidRPr="002F2FAA">
              <w:rPr>
                <w:u w:val="single"/>
              </w:rPr>
              <w:t>καὶ λαλήσει στόμα αὐτοῦ πρὸς στόμα αὐτοῦ</w:t>
            </w:r>
            <w:r w:rsidR="00F51899" w:rsidRPr="002F2FAA">
              <w:t>, καὶ οἱ ὀφθαλμοὶ αὐτοῦ τοὺς ὀφθαλμοὺς αὐτοῦ ὄψονται". "und Zed</w:t>
            </w:r>
            <w:r w:rsidR="00F51899" w:rsidRPr="002F2FAA">
              <w:t>e</w:t>
            </w:r>
            <w:r w:rsidR="00F51899" w:rsidRPr="002F2FAA">
              <w:t xml:space="preserve">kiah wird sich aus der Hand der Chaldäer keinesfalls retten, denn er wird gewiss in die Hände des Königs von Babylon übergeben werden, </w:t>
            </w:r>
            <w:r w:rsidR="00F51899" w:rsidRPr="002F2FAA">
              <w:rPr>
                <w:u w:val="single"/>
              </w:rPr>
              <w:t>und sein Mund wird zu seinem Mund reden</w:t>
            </w:r>
            <w:r w:rsidR="00F51899" w:rsidRPr="002F2FAA">
              <w:t>, und seine Augen werden seine Augen sehen". Auch wenn die direkte Gegenwart im Falle Zed</w:t>
            </w:r>
            <w:r w:rsidR="00F51899" w:rsidRPr="002F2FAA">
              <w:t>e</w:t>
            </w:r>
            <w:r w:rsidR="00F51899" w:rsidRPr="002F2FAA">
              <w:t>kias mit dem schlimmsten Feind negativ war, so ist doch im Gegensatz dazu für Johannes die Hoffnung mit Gajus direkt zu sprechen sehr wünschenswert.</w:t>
            </w:r>
            <w:r w:rsidR="00362A55">
              <w:t xml:space="preserve"> </w:t>
            </w:r>
            <w:r>
              <w:t xml:space="preserve">Der letzte Satz wurde in </w:t>
            </w:r>
            <w:r w:rsidR="003F35E4">
              <w:t>vergleichbarer</w:t>
            </w:r>
            <w:r>
              <w:t xml:space="preserve"> Art auch von Theodorus Studites </w:t>
            </w:r>
            <w:hyperlink r:id="rId21" w:anchor="doc=tlg&amp;aid=2714&amp;wid=002&amp;q=Epistulae&amp;dt=list&amp;st=work_title&amp;per=50" w:history="1">
              <w:r w:rsidRPr="00B428C8">
                <w:t>T</w:t>
              </w:r>
              <w:r>
                <w:t>heodorus, Epi</w:t>
              </w:r>
              <w:r w:rsidRPr="00B428C8">
                <w:t xml:space="preserve">stulae </w:t>
              </w:r>
            </w:hyperlink>
            <w:r>
              <w:t>4</w:t>
            </w:r>
            <w:r w:rsidRPr="00B428C8">
              <w:t>15</w:t>
            </w:r>
            <w:r>
              <w:t>.5</w:t>
            </w:r>
            <w:r w:rsidRPr="00B428C8">
              <w:t>7</w:t>
            </w:r>
            <w:r>
              <w:t xml:space="preserve"> verwendet: „</w:t>
            </w:r>
            <w:r w:rsidRPr="00B428C8">
              <w:rPr>
                <w:u w:val="single"/>
              </w:rPr>
              <w:t>ἄσπασαι</w:t>
            </w:r>
            <w:r w:rsidRPr="00B428C8">
              <w:t xml:space="preserve"> τοὺς συνομολογητάς σου </w:t>
            </w:r>
            <w:r w:rsidRPr="00B428C8">
              <w:rPr>
                <w:u w:val="single"/>
              </w:rPr>
              <w:t>κατ’ ὄνομα</w:t>
            </w:r>
            <w:r>
              <w:t xml:space="preserve">“, „Grüße deine Mit-Bekenner dem Namen nach“. D.h. es gab bei Theodorus mehrere die zu grüßen sind, jeder einzelne soll dem Namen nach </w:t>
            </w:r>
            <w:r w:rsidR="00CF0B6A">
              <w:t xml:space="preserve">gegrüßt </w:t>
            </w:r>
            <w:r>
              <w:t>werden</w:t>
            </w:r>
            <w:r w:rsidR="00CF0B6A">
              <w:t>, etwa in der Form „Lieber XY, Johannes lässt dich grüßen“. Es könnte sein, dass es mehrere Freunde gegeben hat, die jeder einzeln, d.h. persönlich zu grüßen sei. Im Vergleich der letzten beiden Sätze fällt es auf, dass zunächst die Brüder als Agens genannt werden, dann als Patiens, d.h. erst sind sie die, die Johannes an Gajus Grüße ausrichten lassen aktiv gewesen, dann werden die Freunde von Johannes bei Gajus als Adressaten der Grüße genannt</w:t>
            </w:r>
            <w:r w:rsidR="003F35E4">
              <w:t>, also passiv</w:t>
            </w:r>
            <w:r w:rsidR="00CF0B6A">
              <w:t>. D.h. Johannes und Gajus haben eine Schnittmenge gemeinsamer Freunde, die Gajus über Johannes grüßen lassen und auch Gajus soll bei sich, die gemei</w:t>
            </w:r>
            <w:r w:rsidR="00CF0B6A">
              <w:t>n</w:t>
            </w:r>
            <w:r w:rsidR="00CF0B6A">
              <w:t>samen Freunde im Herrn grüßen.</w:t>
            </w:r>
          </w:p>
        </w:tc>
      </w:tr>
    </w:tbl>
    <w:p w:rsidR="004E58B4" w:rsidRPr="002F2FAA" w:rsidRDefault="004E58B4"/>
    <w:sectPr w:rsidR="004E58B4" w:rsidRPr="002F2FAA" w:rsidSect="00F13DF8">
      <w:headerReference w:type="default" r:id="rId22"/>
      <w:pgSz w:w="11906" w:h="16838"/>
      <w:pgMar w:top="568"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3B7" w:rsidRDefault="009E23B7" w:rsidP="007F0C02">
      <w:pPr>
        <w:spacing w:after="0" w:line="240" w:lineRule="auto"/>
      </w:pPr>
      <w:r>
        <w:separator/>
      </w:r>
    </w:p>
  </w:endnote>
  <w:endnote w:type="continuationSeparator" w:id="0">
    <w:p w:rsidR="009E23B7" w:rsidRDefault="009E23B7" w:rsidP="007F0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3B7" w:rsidRDefault="009E23B7" w:rsidP="007F0C02">
      <w:pPr>
        <w:spacing w:after="0" w:line="240" w:lineRule="auto"/>
      </w:pPr>
      <w:r>
        <w:separator/>
      </w:r>
    </w:p>
  </w:footnote>
  <w:footnote w:type="continuationSeparator" w:id="0">
    <w:p w:rsidR="009E23B7" w:rsidRDefault="009E23B7" w:rsidP="007F0C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D44" w:rsidRDefault="00D426DC">
    <w:pPr>
      <w:pStyle w:val="Kopfzeile"/>
    </w:pPr>
    <w:r>
      <w:rPr>
        <w:noProof/>
        <w:lang w:eastAsia="zh-TW" w:bidi="ar-SA"/>
      </w:rPr>
      <w:pict>
        <v:shapetype id="_x0000_t202" coordsize="21600,21600" o:spt="202" path="m,l,21600r21600,l21600,xe">
          <v:stroke joinstyle="miter"/>
          <v:path gradientshapeok="t" o:connecttype="rect"/>
        </v:shapetype>
        <v:shape id="_x0000_s5122" type="#_x0000_t202" style="position:absolute;margin-left:0;margin-top:0;width:468pt;height:13.45pt;z-index:251661312;mso-width-percent:1000;mso-position-horizontal:left;mso-position-horizontal-relative:margin;mso-position-vertical:center;mso-position-vertical-relative:top-margin-area;mso-width-percent:1000;mso-width-relative:margin;v-text-anchor:middle" o:allowincell="f" filled="f" stroked="f">
          <v:textbox style="mso-fit-shape-to-text:t" inset=",0,,0">
            <w:txbxContent>
              <w:p w:rsidR="000A7D44" w:rsidRDefault="00290A7D">
                <w:pPr>
                  <w:spacing w:after="0" w:line="240" w:lineRule="auto"/>
                  <w:jc w:val="right"/>
                </w:pPr>
                <w:r>
                  <w:fldChar w:fldCharType="begin"/>
                </w:r>
                <w:r w:rsidR="000A7D44">
                  <w:instrText xml:space="preserve"> STYLEREF  "1" </w:instrText>
                </w:r>
                <w:r>
                  <w:fldChar w:fldCharType="end"/>
                </w:r>
              </w:p>
            </w:txbxContent>
          </v:textbox>
          <w10:wrap anchorx="margin" anchory="margin"/>
        </v:shape>
      </w:pict>
    </w:r>
    <w:r>
      <w:rPr>
        <w:noProof/>
        <w:lang w:eastAsia="zh-TW" w:bidi="ar-SA"/>
      </w:rPr>
      <w:pict>
        <v:shape id="_x0000_s5121" type="#_x0000_t202" style="position:absolute;margin-left:5036.8pt;margin-top:0;width:1in;height:13.45pt;z-index:251660288;mso-width-percent:1000;mso-position-horizontal:right;mso-position-horizontal-relative:page;mso-position-vertical:center;mso-position-vertical-relative:top-margin-area;mso-width-percent:1000;mso-width-relative:right-margin-area;v-text-anchor:middle" o:allowincell="f" fillcolor="#4f81bd [3204]" stroked="f">
          <v:textbox style="mso-fit-shape-to-text:t" inset=",0,,0">
            <w:txbxContent>
              <w:p w:rsidR="000A7D44" w:rsidRDefault="00D426DC">
                <w:pPr>
                  <w:spacing w:after="0" w:line="240" w:lineRule="auto"/>
                  <w:rPr>
                    <w:color w:val="FFFFFF" w:themeColor="background1"/>
                  </w:rPr>
                </w:pPr>
                <w:r>
                  <w:fldChar w:fldCharType="begin"/>
                </w:r>
                <w:r>
                  <w:instrText xml:space="preserve"> PAGE   \* MERGEFORMAT </w:instrText>
                </w:r>
                <w:r>
                  <w:fldChar w:fldCharType="separate"/>
                </w:r>
                <w:r w:rsidRPr="00D426DC">
                  <w:rPr>
                    <w:noProof/>
                    <w:color w:val="FFFFFF" w:themeColor="background1"/>
                  </w:rPr>
                  <w:t>2</w:t>
                </w:r>
                <w:r>
                  <w:rPr>
                    <w:noProof/>
                    <w:color w:val="FFFFFF" w:themeColor="background1"/>
                  </w:rPr>
                  <w:fldChar w:fldCharType="end"/>
                </w:r>
              </w:p>
            </w:txbxContent>
          </v:textbox>
          <w10:wrap anchorx="page"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autoHyphenation/>
  <w:hyphenationZone w:val="425"/>
  <w:characterSpacingControl w:val="doNotCompress"/>
  <w:hdrShapeDefaults>
    <o:shapedefaults v:ext="edit" spidmax="5124"/>
    <o:shapelayout v:ext="edit">
      <o:idmap v:ext="edit" data="5"/>
    </o:shapelayout>
  </w:hdrShapeDefaults>
  <w:footnotePr>
    <w:footnote w:id="-1"/>
    <w:footnote w:id="0"/>
  </w:footnotePr>
  <w:endnotePr>
    <w:endnote w:id="-1"/>
    <w:endnote w:id="0"/>
  </w:endnotePr>
  <w:compat>
    <w:compatSetting w:name="compatibilityMode" w:uri="http://schemas.microsoft.com/office/word" w:val="12"/>
  </w:compat>
  <w:rsids>
    <w:rsidRoot w:val="00F13DF8"/>
    <w:rsid w:val="000000DF"/>
    <w:rsid w:val="00003F37"/>
    <w:rsid w:val="00004832"/>
    <w:rsid w:val="00027CD7"/>
    <w:rsid w:val="0003348E"/>
    <w:rsid w:val="000562DB"/>
    <w:rsid w:val="000604D4"/>
    <w:rsid w:val="000A53C4"/>
    <w:rsid w:val="000A7D44"/>
    <w:rsid w:val="000D3870"/>
    <w:rsid w:val="000E641F"/>
    <w:rsid w:val="00117CD8"/>
    <w:rsid w:val="00140121"/>
    <w:rsid w:val="0014470C"/>
    <w:rsid w:val="001459F0"/>
    <w:rsid w:val="00146DAB"/>
    <w:rsid w:val="00151A48"/>
    <w:rsid w:val="00151D45"/>
    <w:rsid w:val="00177D01"/>
    <w:rsid w:val="0019619C"/>
    <w:rsid w:val="001B30B3"/>
    <w:rsid w:val="001B488A"/>
    <w:rsid w:val="001D6377"/>
    <w:rsid w:val="001F446C"/>
    <w:rsid w:val="0026130F"/>
    <w:rsid w:val="00262B96"/>
    <w:rsid w:val="002653A2"/>
    <w:rsid w:val="00280764"/>
    <w:rsid w:val="00290A7D"/>
    <w:rsid w:val="002C282A"/>
    <w:rsid w:val="002C48F6"/>
    <w:rsid w:val="002F2FAA"/>
    <w:rsid w:val="002F75F4"/>
    <w:rsid w:val="002F79A4"/>
    <w:rsid w:val="0030045E"/>
    <w:rsid w:val="00345026"/>
    <w:rsid w:val="00345C2F"/>
    <w:rsid w:val="00362A55"/>
    <w:rsid w:val="0039672B"/>
    <w:rsid w:val="003A6246"/>
    <w:rsid w:val="003C558F"/>
    <w:rsid w:val="003E6B2C"/>
    <w:rsid w:val="003E700F"/>
    <w:rsid w:val="003F35E4"/>
    <w:rsid w:val="00400DDB"/>
    <w:rsid w:val="00427A79"/>
    <w:rsid w:val="004427C8"/>
    <w:rsid w:val="004455CF"/>
    <w:rsid w:val="00450E03"/>
    <w:rsid w:val="00487BB5"/>
    <w:rsid w:val="004A3BAE"/>
    <w:rsid w:val="004D4CA3"/>
    <w:rsid w:val="004E58B4"/>
    <w:rsid w:val="004F279C"/>
    <w:rsid w:val="005004C9"/>
    <w:rsid w:val="00526C39"/>
    <w:rsid w:val="00533568"/>
    <w:rsid w:val="0054518D"/>
    <w:rsid w:val="005B5622"/>
    <w:rsid w:val="005E31D2"/>
    <w:rsid w:val="005F3EE5"/>
    <w:rsid w:val="006405C4"/>
    <w:rsid w:val="0064174C"/>
    <w:rsid w:val="00643DC7"/>
    <w:rsid w:val="00673FF9"/>
    <w:rsid w:val="00690620"/>
    <w:rsid w:val="006952E1"/>
    <w:rsid w:val="00697F6B"/>
    <w:rsid w:val="006B7197"/>
    <w:rsid w:val="006D2EB6"/>
    <w:rsid w:val="006E2739"/>
    <w:rsid w:val="00725611"/>
    <w:rsid w:val="0072668E"/>
    <w:rsid w:val="00774187"/>
    <w:rsid w:val="00776249"/>
    <w:rsid w:val="00795E55"/>
    <w:rsid w:val="007A1CCF"/>
    <w:rsid w:val="007D6A83"/>
    <w:rsid w:val="007F0C02"/>
    <w:rsid w:val="00803304"/>
    <w:rsid w:val="0082524A"/>
    <w:rsid w:val="0087027B"/>
    <w:rsid w:val="00877751"/>
    <w:rsid w:val="008C29A0"/>
    <w:rsid w:val="008D3CF2"/>
    <w:rsid w:val="009432A5"/>
    <w:rsid w:val="00955567"/>
    <w:rsid w:val="0097406C"/>
    <w:rsid w:val="00977459"/>
    <w:rsid w:val="00993E40"/>
    <w:rsid w:val="009A0621"/>
    <w:rsid w:val="009B6D8D"/>
    <w:rsid w:val="009C1711"/>
    <w:rsid w:val="009D319F"/>
    <w:rsid w:val="009E23B7"/>
    <w:rsid w:val="00A24B0F"/>
    <w:rsid w:val="00A3425B"/>
    <w:rsid w:val="00A543F9"/>
    <w:rsid w:val="00A60A20"/>
    <w:rsid w:val="00A67CEB"/>
    <w:rsid w:val="00A7670C"/>
    <w:rsid w:val="00A80E18"/>
    <w:rsid w:val="00B00C9F"/>
    <w:rsid w:val="00B24B17"/>
    <w:rsid w:val="00B33FAD"/>
    <w:rsid w:val="00B428C8"/>
    <w:rsid w:val="00B73332"/>
    <w:rsid w:val="00B85CC4"/>
    <w:rsid w:val="00B8670B"/>
    <w:rsid w:val="00B91971"/>
    <w:rsid w:val="00B9780B"/>
    <w:rsid w:val="00BA0024"/>
    <w:rsid w:val="00BD1553"/>
    <w:rsid w:val="00C014BD"/>
    <w:rsid w:val="00C0757D"/>
    <w:rsid w:val="00C14162"/>
    <w:rsid w:val="00C17F1B"/>
    <w:rsid w:val="00C74D4E"/>
    <w:rsid w:val="00C76575"/>
    <w:rsid w:val="00CA096F"/>
    <w:rsid w:val="00CB06DC"/>
    <w:rsid w:val="00CC5FF5"/>
    <w:rsid w:val="00CE7A71"/>
    <w:rsid w:val="00CE7D86"/>
    <w:rsid w:val="00CF031C"/>
    <w:rsid w:val="00CF0B6A"/>
    <w:rsid w:val="00D33419"/>
    <w:rsid w:val="00D426DC"/>
    <w:rsid w:val="00D80CD3"/>
    <w:rsid w:val="00D80E53"/>
    <w:rsid w:val="00D916BE"/>
    <w:rsid w:val="00D9509D"/>
    <w:rsid w:val="00DC3FCB"/>
    <w:rsid w:val="00DD7BEA"/>
    <w:rsid w:val="00DF086D"/>
    <w:rsid w:val="00E15B0D"/>
    <w:rsid w:val="00E264F6"/>
    <w:rsid w:val="00E36266"/>
    <w:rsid w:val="00E421DD"/>
    <w:rsid w:val="00E46D31"/>
    <w:rsid w:val="00E668CA"/>
    <w:rsid w:val="00E6757D"/>
    <w:rsid w:val="00E76246"/>
    <w:rsid w:val="00EE01D5"/>
    <w:rsid w:val="00F1075D"/>
    <w:rsid w:val="00F13DF8"/>
    <w:rsid w:val="00F51899"/>
    <w:rsid w:val="00F75DEB"/>
    <w:rsid w:val="00F770D1"/>
    <w:rsid w:val="00FB54C4"/>
    <w:rsid w:val="00FB5EE3"/>
    <w:rsid w:val="00FC6398"/>
    <w:rsid w:val="00FD2731"/>
    <w:rsid w:val="00FE0064"/>
    <w:rsid w:val="00FF4910"/>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512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58B4"/>
  </w:style>
  <w:style w:type="paragraph" w:styleId="berschrift1">
    <w:name w:val="heading 1"/>
    <w:basedOn w:val="Standard"/>
    <w:next w:val="Standard"/>
    <w:link w:val="berschrift1Zchn"/>
    <w:uiPriority w:val="9"/>
    <w:qFormat/>
    <w:rsid w:val="00DD7B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13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D2731"/>
    <w:rPr>
      <w:color w:val="0000FF" w:themeColor="hyperlink"/>
      <w:u w:val="single"/>
    </w:rPr>
  </w:style>
  <w:style w:type="paragraph" w:styleId="Kopfzeile">
    <w:name w:val="header"/>
    <w:basedOn w:val="Standard"/>
    <w:link w:val="KopfzeileZchn"/>
    <w:uiPriority w:val="99"/>
    <w:semiHidden/>
    <w:unhideWhenUsed/>
    <w:rsid w:val="007F0C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7F0C02"/>
  </w:style>
  <w:style w:type="paragraph" w:styleId="Fuzeile">
    <w:name w:val="footer"/>
    <w:basedOn w:val="Standard"/>
    <w:link w:val="FuzeileZchn"/>
    <w:uiPriority w:val="99"/>
    <w:semiHidden/>
    <w:unhideWhenUsed/>
    <w:rsid w:val="007F0C02"/>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7F0C02"/>
  </w:style>
  <w:style w:type="character" w:customStyle="1" w:styleId="berschrift1Zchn">
    <w:name w:val="Überschrift 1 Zchn"/>
    <w:basedOn w:val="Absatz-Standardschriftart"/>
    <w:link w:val="berschrift1"/>
    <w:uiPriority w:val="9"/>
    <w:rsid w:val="00DD7BEA"/>
    <w:rPr>
      <w:rFonts w:asciiTheme="majorHAnsi" w:eastAsiaTheme="majorEastAsia" w:hAnsiTheme="majorHAnsi" w:cstheme="majorBidi"/>
      <w:b/>
      <w:bCs/>
      <w:color w:val="365F91" w:themeColor="accent1" w:themeShade="BF"/>
      <w:sz w:val="28"/>
      <w:szCs w:val="28"/>
    </w:rPr>
  </w:style>
  <w:style w:type="paragraph" w:styleId="Titel">
    <w:name w:val="Title"/>
    <w:basedOn w:val="Standard"/>
    <w:next w:val="Standard"/>
    <w:link w:val="TitelZchn"/>
    <w:uiPriority w:val="10"/>
    <w:qFormat/>
    <w:rsid w:val="00DD7B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DD7BEA"/>
    <w:rPr>
      <w:rFonts w:asciiTheme="majorHAnsi" w:eastAsiaTheme="majorEastAsia" w:hAnsiTheme="majorHAnsi" w:cstheme="majorBidi"/>
      <w:color w:val="17365D" w:themeColor="text2" w:themeShade="BF"/>
      <w:spacing w:val="5"/>
      <w:kern w:val="28"/>
      <w:sz w:val="52"/>
      <w:szCs w:val="52"/>
    </w:rPr>
  </w:style>
  <w:style w:type="paragraph" w:styleId="Inhaltsverzeichnisberschrift">
    <w:name w:val="TOC Heading"/>
    <w:basedOn w:val="berschrift1"/>
    <w:next w:val="Standard"/>
    <w:uiPriority w:val="39"/>
    <w:unhideWhenUsed/>
    <w:qFormat/>
    <w:rsid w:val="00DD7BEA"/>
    <w:pPr>
      <w:outlineLvl w:val="9"/>
    </w:pPr>
    <w:rPr>
      <w:lang w:bidi="ar-SA"/>
    </w:rPr>
  </w:style>
  <w:style w:type="paragraph" w:styleId="Verzeichnis1">
    <w:name w:val="toc 1"/>
    <w:basedOn w:val="Standard"/>
    <w:next w:val="Standard"/>
    <w:autoRedefine/>
    <w:uiPriority w:val="39"/>
    <w:unhideWhenUsed/>
    <w:rsid w:val="000A7D44"/>
    <w:pPr>
      <w:tabs>
        <w:tab w:val="right" w:leader="dot" w:pos="9062"/>
      </w:tabs>
      <w:spacing w:after="100"/>
    </w:pPr>
    <w:rPr>
      <w:noProof/>
      <w:color w:val="000000" w:themeColor="text1"/>
    </w:rPr>
  </w:style>
  <w:style w:type="paragraph" w:styleId="Verzeichnis2">
    <w:name w:val="toc 2"/>
    <w:basedOn w:val="Standard"/>
    <w:next w:val="Standard"/>
    <w:autoRedefine/>
    <w:uiPriority w:val="39"/>
    <w:unhideWhenUsed/>
    <w:rsid w:val="00DD7BEA"/>
    <w:pPr>
      <w:spacing w:after="100"/>
      <w:ind w:left="220"/>
    </w:pPr>
  </w:style>
  <w:style w:type="paragraph" w:customStyle="1" w:styleId="yiv0834682144msonormal">
    <w:name w:val="yiv0834682144msonormal"/>
    <w:basedOn w:val="Standard"/>
    <w:rsid w:val="00DD7BE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DD7B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7B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46404">
      <w:bodyDiv w:val="1"/>
      <w:marLeft w:val="0"/>
      <w:marRight w:val="0"/>
      <w:marTop w:val="0"/>
      <w:marBottom w:val="0"/>
      <w:divBdr>
        <w:top w:val="none" w:sz="0" w:space="0" w:color="auto"/>
        <w:left w:val="none" w:sz="0" w:space="0" w:color="auto"/>
        <w:bottom w:val="none" w:sz="0" w:space="0" w:color="auto"/>
        <w:right w:val="none" w:sz="0" w:space="0" w:color="auto"/>
      </w:divBdr>
      <w:divsChild>
        <w:div w:id="1307782684">
          <w:marLeft w:val="0"/>
          <w:marRight w:val="0"/>
          <w:marTop w:val="75"/>
          <w:marBottom w:val="75"/>
          <w:divBdr>
            <w:top w:val="none" w:sz="0" w:space="0" w:color="auto"/>
            <w:left w:val="none" w:sz="0" w:space="0" w:color="auto"/>
            <w:bottom w:val="none" w:sz="0" w:space="0" w:color="auto"/>
            <w:right w:val="none" w:sz="0" w:space="0" w:color="auto"/>
          </w:divBdr>
        </w:div>
        <w:div w:id="87972364">
          <w:marLeft w:val="0"/>
          <w:marRight w:val="0"/>
          <w:marTop w:val="0"/>
          <w:marBottom w:val="150"/>
          <w:divBdr>
            <w:top w:val="none" w:sz="0" w:space="0" w:color="auto"/>
            <w:left w:val="none" w:sz="0" w:space="0" w:color="auto"/>
            <w:bottom w:val="none" w:sz="0" w:space="0" w:color="auto"/>
            <w:right w:val="none" w:sz="0" w:space="0" w:color="auto"/>
          </w:divBdr>
          <w:divsChild>
            <w:div w:id="19931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5770">
      <w:bodyDiv w:val="1"/>
      <w:marLeft w:val="0"/>
      <w:marRight w:val="0"/>
      <w:marTop w:val="0"/>
      <w:marBottom w:val="0"/>
      <w:divBdr>
        <w:top w:val="none" w:sz="0" w:space="0" w:color="auto"/>
        <w:left w:val="none" w:sz="0" w:space="0" w:color="auto"/>
        <w:bottom w:val="none" w:sz="0" w:space="0" w:color="auto"/>
        <w:right w:val="none" w:sz="0" w:space="0" w:color="auto"/>
      </w:divBdr>
      <w:divsChild>
        <w:div w:id="1898396750">
          <w:marLeft w:val="0"/>
          <w:marRight w:val="0"/>
          <w:marTop w:val="0"/>
          <w:marBottom w:val="0"/>
          <w:divBdr>
            <w:top w:val="none" w:sz="0" w:space="0" w:color="auto"/>
            <w:left w:val="none" w:sz="0" w:space="0" w:color="auto"/>
            <w:bottom w:val="none" w:sz="0" w:space="0" w:color="auto"/>
            <w:right w:val="none" w:sz="0" w:space="0" w:color="auto"/>
          </w:divBdr>
        </w:div>
      </w:divsChild>
    </w:div>
    <w:div w:id="704713290">
      <w:bodyDiv w:val="1"/>
      <w:marLeft w:val="0"/>
      <w:marRight w:val="0"/>
      <w:marTop w:val="0"/>
      <w:marBottom w:val="0"/>
      <w:divBdr>
        <w:top w:val="none" w:sz="0" w:space="0" w:color="auto"/>
        <w:left w:val="none" w:sz="0" w:space="0" w:color="auto"/>
        <w:bottom w:val="none" w:sz="0" w:space="0" w:color="auto"/>
        <w:right w:val="none" w:sz="0" w:space="0" w:color="auto"/>
      </w:divBdr>
      <w:divsChild>
        <w:div w:id="1235890537">
          <w:marLeft w:val="0"/>
          <w:marRight w:val="0"/>
          <w:marTop w:val="58"/>
          <w:marBottom w:val="58"/>
          <w:divBdr>
            <w:top w:val="none" w:sz="0" w:space="0" w:color="auto"/>
            <w:left w:val="none" w:sz="0" w:space="0" w:color="auto"/>
            <w:bottom w:val="none" w:sz="0" w:space="0" w:color="auto"/>
            <w:right w:val="none" w:sz="0" w:space="0" w:color="auto"/>
          </w:divBdr>
        </w:div>
        <w:div w:id="1538010650">
          <w:marLeft w:val="0"/>
          <w:marRight w:val="0"/>
          <w:marTop w:val="0"/>
          <w:marBottom w:val="115"/>
          <w:divBdr>
            <w:top w:val="none" w:sz="0" w:space="0" w:color="auto"/>
            <w:left w:val="none" w:sz="0" w:space="0" w:color="auto"/>
            <w:bottom w:val="none" w:sz="0" w:space="0" w:color="auto"/>
            <w:right w:val="none" w:sz="0" w:space="0" w:color="auto"/>
          </w:divBdr>
          <w:divsChild>
            <w:div w:id="26484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69953">
      <w:bodyDiv w:val="1"/>
      <w:marLeft w:val="0"/>
      <w:marRight w:val="0"/>
      <w:marTop w:val="0"/>
      <w:marBottom w:val="0"/>
      <w:divBdr>
        <w:top w:val="none" w:sz="0" w:space="0" w:color="auto"/>
        <w:left w:val="none" w:sz="0" w:space="0" w:color="auto"/>
        <w:bottom w:val="none" w:sz="0" w:space="0" w:color="auto"/>
        <w:right w:val="none" w:sz="0" w:space="0" w:color="auto"/>
      </w:divBdr>
      <w:divsChild>
        <w:div w:id="1779451272">
          <w:marLeft w:val="0"/>
          <w:marRight w:val="0"/>
          <w:marTop w:val="75"/>
          <w:marBottom w:val="75"/>
          <w:divBdr>
            <w:top w:val="none" w:sz="0" w:space="0" w:color="auto"/>
            <w:left w:val="none" w:sz="0" w:space="0" w:color="auto"/>
            <w:bottom w:val="none" w:sz="0" w:space="0" w:color="auto"/>
            <w:right w:val="none" w:sz="0" w:space="0" w:color="auto"/>
          </w:divBdr>
        </w:div>
        <w:div w:id="682512488">
          <w:marLeft w:val="0"/>
          <w:marRight w:val="0"/>
          <w:marTop w:val="0"/>
          <w:marBottom w:val="150"/>
          <w:divBdr>
            <w:top w:val="none" w:sz="0" w:space="0" w:color="auto"/>
            <w:left w:val="none" w:sz="0" w:space="0" w:color="auto"/>
            <w:bottom w:val="none" w:sz="0" w:space="0" w:color="auto"/>
            <w:right w:val="none" w:sz="0" w:space="0" w:color="auto"/>
          </w:divBdr>
          <w:divsChild>
            <w:div w:id="212214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49268">
      <w:bodyDiv w:val="1"/>
      <w:marLeft w:val="0"/>
      <w:marRight w:val="0"/>
      <w:marTop w:val="0"/>
      <w:marBottom w:val="0"/>
      <w:divBdr>
        <w:top w:val="none" w:sz="0" w:space="0" w:color="auto"/>
        <w:left w:val="none" w:sz="0" w:space="0" w:color="auto"/>
        <w:bottom w:val="none" w:sz="0" w:space="0" w:color="auto"/>
        <w:right w:val="none" w:sz="0" w:space="0" w:color="auto"/>
      </w:divBdr>
      <w:divsChild>
        <w:div w:id="1097211396">
          <w:marLeft w:val="0"/>
          <w:marRight w:val="0"/>
          <w:marTop w:val="75"/>
          <w:marBottom w:val="75"/>
          <w:divBdr>
            <w:top w:val="none" w:sz="0" w:space="0" w:color="auto"/>
            <w:left w:val="none" w:sz="0" w:space="0" w:color="auto"/>
            <w:bottom w:val="none" w:sz="0" w:space="0" w:color="auto"/>
            <w:right w:val="none" w:sz="0" w:space="0" w:color="auto"/>
          </w:divBdr>
        </w:div>
        <w:div w:id="434062069">
          <w:marLeft w:val="0"/>
          <w:marRight w:val="0"/>
          <w:marTop w:val="0"/>
          <w:marBottom w:val="150"/>
          <w:divBdr>
            <w:top w:val="none" w:sz="0" w:space="0" w:color="auto"/>
            <w:left w:val="none" w:sz="0" w:space="0" w:color="auto"/>
            <w:bottom w:val="none" w:sz="0" w:space="0" w:color="auto"/>
            <w:right w:val="none" w:sz="0" w:space="0" w:color="auto"/>
          </w:divBdr>
          <w:divsChild>
            <w:div w:id="5251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19332">
      <w:bodyDiv w:val="1"/>
      <w:marLeft w:val="0"/>
      <w:marRight w:val="0"/>
      <w:marTop w:val="0"/>
      <w:marBottom w:val="0"/>
      <w:divBdr>
        <w:top w:val="none" w:sz="0" w:space="0" w:color="auto"/>
        <w:left w:val="none" w:sz="0" w:space="0" w:color="auto"/>
        <w:bottom w:val="none" w:sz="0" w:space="0" w:color="auto"/>
        <w:right w:val="none" w:sz="0" w:space="0" w:color="auto"/>
      </w:divBdr>
      <w:divsChild>
        <w:div w:id="70081663">
          <w:marLeft w:val="0"/>
          <w:marRight w:val="0"/>
          <w:marTop w:val="75"/>
          <w:marBottom w:val="75"/>
          <w:divBdr>
            <w:top w:val="none" w:sz="0" w:space="0" w:color="auto"/>
            <w:left w:val="none" w:sz="0" w:space="0" w:color="auto"/>
            <w:bottom w:val="none" w:sz="0" w:space="0" w:color="auto"/>
            <w:right w:val="none" w:sz="0" w:space="0" w:color="auto"/>
          </w:divBdr>
        </w:div>
        <w:div w:id="1562981218">
          <w:marLeft w:val="0"/>
          <w:marRight w:val="0"/>
          <w:marTop w:val="0"/>
          <w:marBottom w:val="150"/>
          <w:divBdr>
            <w:top w:val="none" w:sz="0" w:space="0" w:color="auto"/>
            <w:left w:val="none" w:sz="0" w:space="0" w:color="auto"/>
            <w:bottom w:val="none" w:sz="0" w:space="0" w:color="auto"/>
            <w:right w:val="none" w:sz="0" w:space="0" w:color="auto"/>
          </w:divBdr>
          <w:divsChild>
            <w:div w:id="52606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60564">
      <w:bodyDiv w:val="1"/>
      <w:marLeft w:val="0"/>
      <w:marRight w:val="0"/>
      <w:marTop w:val="0"/>
      <w:marBottom w:val="0"/>
      <w:divBdr>
        <w:top w:val="none" w:sz="0" w:space="0" w:color="auto"/>
        <w:left w:val="none" w:sz="0" w:space="0" w:color="auto"/>
        <w:bottom w:val="none" w:sz="0" w:space="0" w:color="auto"/>
        <w:right w:val="none" w:sz="0" w:space="0" w:color="auto"/>
      </w:divBdr>
      <w:divsChild>
        <w:div w:id="579219441">
          <w:marLeft w:val="0"/>
          <w:marRight w:val="0"/>
          <w:marTop w:val="68"/>
          <w:marBottom w:val="68"/>
          <w:divBdr>
            <w:top w:val="none" w:sz="0" w:space="0" w:color="auto"/>
            <w:left w:val="none" w:sz="0" w:space="0" w:color="auto"/>
            <w:bottom w:val="none" w:sz="0" w:space="0" w:color="auto"/>
            <w:right w:val="none" w:sz="0" w:space="0" w:color="auto"/>
          </w:divBdr>
        </w:div>
        <w:div w:id="133379819">
          <w:marLeft w:val="0"/>
          <w:marRight w:val="0"/>
          <w:marTop w:val="0"/>
          <w:marBottom w:val="136"/>
          <w:divBdr>
            <w:top w:val="none" w:sz="0" w:space="0" w:color="auto"/>
            <w:left w:val="none" w:sz="0" w:space="0" w:color="auto"/>
            <w:bottom w:val="none" w:sz="0" w:space="0" w:color="auto"/>
            <w:right w:val="none" w:sz="0" w:space="0" w:color="auto"/>
          </w:divBdr>
          <w:divsChild>
            <w:div w:id="13719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77264">
      <w:bodyDiv w:val="1"/>
      <w:marLeft w:val="0"/>
      <w:marRight w:val="0"/>
      <w:marTop w:val="0"/>
      <w:marBottom w:val="0"/>
      <w:divBdr>
        <w:top w:val="none" w:sz="0" w:space="0" w:color="auto"/>
        <w:left w:val="none" w:sz="0" w:space="0" w:color="auto"/>
        <w:bottom w:val="none" w:sz="0" w:space="0" w:color="auto"/>
        <w:right w:val="none" w:sz="0" w:space="0" w:color="auto"/>
      </w:divBdr>
      <w:divsChild>
        <w:div w:id="1241984710">
          <w:marLeft w:val="0"/>
          <w:marRight w:val="0"/>
          <w:marTop w:val="0"/>
          <w:marBottom w:val="0"/>
          <w:divBdr>
            <w:top w:val="none" w:sz="0" w:space="0" w:color="auto"/>
            <w:left w:val="none" w:sz="0" w:space="0" w:color="auto"/>
            <w:bottom w:val="none" w:sz="0" w:space="0" w:color="auto"/>
            <w:right w:val="none" w:sz="0" w:space="0" w:color="auto"/>
          </w:divBdr>
        </w:div>
      </w:divsChild>
    </w:div>
    <w:div w:id="1978682691">
      <w:bodyDiv w:val="1"/>
      <w:marLeft w:val="0"/>
      <w:marRight w:val="0"/>
      <w:marTop w:val="0"/>
      <w:marBottom w:val="0"/>
      <w:divBdr>
        <w:top w:val="none" w:sz="0" w:space="0" w:color="auto"/>
        <w:left w:val="none" w:sz="0" w:space="0" w:color="auto"/>
        <w:bottom w:val="none" w:sz="0" w:space="0" w:color="auto"/>
        <w:right w:val="none" w:sz="0" w:space="0" w:color="auto"/>
      </w:divBdr>
      <w:divsChild>
        <w:div w:id="437531562">
          <w:marLeft w:val="0"/>
          <w:marRight w:val="0"/>
          <w:marTop w:val="68"/>
          <w:marBottom w:val="68"/>
          <w:divBdr>
            <w:top w:val="none" w:sz="0" w:space="0" w:color="auto"/>
            <w:left w:val="none" w:sz="0" w:space="0" w:color="auto"/>
            <w:bottom w:val="none" w:sz="0" w:space="0" w:color="auto"/>
            <w:right w:val="none" w:sz="0" w:space="0" w:color="auto"/>
          </w:divBdr>
        </w:div>
        <w:div w:id="597103310">
          <w:marLeft w:val="0"/>
          <w:marRight w:val="0"/>
          <w:marTop w:val="0"/>
          <w:marBottom w:val="136"/>
          <w:divBdr>
            <w:top w:val="none" w:sz="0" w:space="0" w:color="auto"/>
            <w:left w:val="none" w:sz="0" w:space="0" w:color="auto"/>
            <w:bottom w:val="none" w:sz="0" w:space="0" w:color="auto"/>
            <w:right w:val="none" w:sz="0" w:space="0" w:color="auto"/>
          </w:divBdr>
          <w:divsChild>
            <w:div w:id="66894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34368">
      <w:bodyDiv w:val="1"/>
      <w:marLeft w:val="0"/>
      <w:marRight w:val="0"/>
      <w:marTop w:val="0"/>
      <w:marBottom w:val="0"/>
      <w:divBdr>
        <w:top w:val="none" w:sz="0" w:space="0" w:color="auto"/>
        <w:left w:val="none" w:sz="0" w:space="0" w:color="auto"/>
        <w:bottom w:val="none" w:sz="0" w:space="0" w:color="auto"/>
        <w:right w:val="none" w:sz="0" w:space="0" w:color="auto"/>
      </w:divBdr>
      <w:divsChild>
        <w:div w:id="408700886">
          <w:marLeft w:val="0"/>
          <w:marRight w:val="0"/>
          <w:marTop w:val="68"/>
          <w:marBottom w:val="68"/>
          <w:divBdr>
            <w:top w:val="none" w:sz="0" w:space="0" w:color="auto"/>
            <w:left w:val="none" w:sz="0" w:space="0" w:color="auto"/>
            <w:bottom w:val="none" w:sz="0" w:space="0" w:color="auto"/>
            <w:right w:val="none" w:sz="0" w:space="0" w:color="auto"/>
          </w:divBdr>
        </w:div>
        <w:div w:id="1806267987">
          <w:marLeft w:val="0"/>
          <w:marRight w:val="0"/>
          <w:marTop w:val="0"/>
          <w:marBottom w:val="136"/>
          <w:divBdr>
            <w:top w:val="none" w:sz="0" w:space="0" w:color="auto"/>
            <w:left w:val="none" w:sz="0" w:space="0" w:color="auto"/>
            <w:bottom w:val="none" w:sz="0" w:space="0" w:color="auto"/>
            <w:right w:val="none" w:sz="0" w:space="0" w:color="auto"/>
          </w:divBdr>
          <w:divsChild>
            <w:div w:id="204763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ephanus.tlg.uci.edu/Iris/indiv/csearch_red.jsp" TargetMode="External"/><Relationship Id="rId18" Type="http://schemas.openxmlformats.org/officeDocument/2006/relationships/hyperlink" Target="http://stephanus.tlg.uci.edu/Iris/indiv/csearch_red.jsp" TargetMode="External"/><Relationship Id="rId3" Type="http://schemas.microsoft.com/office/2007/relationships/stylesWithEffects" Target="stylesWithEffects.xml"/><Relationship Id="rId21" Type="http://schemas.openxmlformats.org/officeDocument/2006/relationships/hyperlink" Target="http://stephanus.tlg.uci.edu/Iris/indiv/csearch_red.jsp" TargetMode="External"/><Relationship Id="rId7" Type="http://schemas.openxmlformats.org/officeDocument/2006/relationships/endnotes" Target="endnotes.xml"/><Relationship Id="rId12" Type="http://schemas.openxmlformats.org/officeDocument/2006/relationships/hyperlink" Target="http://stephanus.tlg.uci.edu/Iris/indiv/csearch_red.jsp" TargetMode="External"/><Relationship Id="rId17" Type="http://schemas.openxmlformats.org/officeDocument/2006/relationships/hyperlink" Target="http://stephanus.tlg.uci.edu/Iris/indiv/csearch_red.jsp" TargetMode="External"/><Relationship Id="rId2" Type="http://schemas.openxmlformats.org/officeDocument/2006/relationships/styles" Target="styles.xml"/><Relationship Id="rId16" Type="http://schemas.openxmlformats.org/officeDocument/2006/relationships/hyperlink" Target="http://stephanus.tlg.uci.edu/Iris/indiv/csearch_red.jsp" TargetMode="External"/><Relationship Id="rId20" Type="http://schemas.openxmlformats.org/officeDocument/2006/relationships/hyperlink" Target="http://stephanus.tlg.uci.edu/Iris/indiv/csearch_red.j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phanus.tlg.uci.edu/Iris/indiv/csearch_red.js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ephanus.tlg.uci.edu/Iris/indiv/csearch_red.jsp" TargetMode="External"/><Relationship Id="rId23" Type="http://schemas.openxmlformats.org/officeDocument/2006/relationships/fontTable" Target="fontTable.xml"/><Relationship Id="rId10" Type="http://schemas.openxmlformats.org/officeDocument/2006/relationships/hyperlink" Target="mailto:Petra.Streitenberger@live.de" TargetMode="External"/><Relationship Id="rId19" Type="http://schemas.openxmlformats.org/officeDocument/2006/relationships/hyperlink" Target="http://stephanus.tlg.uci.edu/Iris/indiv/csearch_red.jsp" TargetMode="External"/><Relationship Id="rId4" Type="http://schemas.openxmlformats.org/officeDocument/2006/relationships/settings" Target="settings.xml"/><Relationship Id="rId9" Type="http://schemas.openxmlformats.org/officeDocument/2006/relationships/hyperlink" Target="https://www.vr-bayernmitte.de/banking-private/portal?menuId=Umsatzanzeige&amp;token=5245951172199579652" TargetMode="External"/><Relationship Id="rId14" Type="http://schemas.openxmlformats.org/officeDocument/2006/relationships/hyperlink" Target="http://stephanus.tlg.uci.edu/Iris/indiv/csearch_red.jsp" TargetMode="External"/><Relationship Id="rId22"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914B8B-4D2B-42BD-9FEF-DAD505635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6489</Words>
  <Characters>40887</Characters>
  <Application>Microsoft Office Word</Application>
  <DocSecurity>0</DocSecurity>
  <Lines>340</Lines>
  <Paragraphs>94</Paragraphs>
  <ScaleCrop>false</ScaleCrop>
  <HeadingPairs>
    <vt:vector size="2" baseType="variant">
      <vt:variant>
        <vt:lpstr>Titel</vt:lpstr>
      </vt:variant>
      <vt:variant>
        <vt:i4>1</vt:i4>
      </vt:variant>
    </vt:vector>
  </HeadingPairs>
  <TitlesOfParts>
    <vt:vector size="1" baseType="lpstr">
      <vt:lpstr>Der dritte Johannesbrief</vt:lpstr>
    </vt:vector>
  </TitlesOfParts>
  <Company/>
  <LinksUpToDate>false</LinksUpToDate>
  <CharactersWithSpaces>47282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dritte Johannesbrief</dc:title>
  <dc:creator>Petra</dc:creator>
  <cp:lastModifiedBy>Me</cp:lastModifiedBy>
  <cp:revision>20</cp:revision>
  <cp:lastPrinted>2018-09-13T10:09:00Z</cp:lastPrinted>
  <dcterms:created xsi:type="dcterms:W3CDTF">2018-08-20T14:41:00Z</dcterms:created>
  <dcterms:modified xsi:type="dcterms:W3CDTF">2022-08-17T10:42:00Z</dcterms:modified>
</cp:coreProperties>
</file>